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4610A" w14:textId="77777777" w:rsidR="00216B9C" w:rsidRPr="00E60E24" w:rsidRDefault="00216B9C" w:rsidP="00216B9C">
      <w:pPr>
        <w:tabs>
          <w:tab w:val="left" w:pos="567"/>
          <w:tab w:val="left" w:pos="1134"/>
          <w:tab w:val="left" w:pos="1418"/>
          <w:tab w:val="left" w:pos="5954"/>
        </w:tabs>
        <w:spacing w:line="276" w:lineRule="auto"/>
        <w:jc w:val="center"/>
        <w:rPr>
          <w:rFonts w:ascii="Montserrat" w:hAnsi="Montserrat" w:cs="Arial"/>
          <w:b/>
          <w:sz w:val="22"/>
          <w:szCs w:val="22"/>
        </w:rPr>
      </w:pPr>
      <w:r w:rsidRPr="00E60E24">
        <w:rPr>
          <w:rFonts w:ascii="Montserrat" w:hAnsi="Montserrat" w:cs="Arial"/>
          <w:b/>
          <w:sz w:val="22"/>
          <w:szCs w:val="22"/>
        </w:rPr>
        <w:t xml:space="preserve">ANEXO I </w:t>
      </w:r>
    </w:p>
    <w:p w14:paraId="4F3AF14A" w14:textId="4D2F1C45" w:rsidR="00325120" w:rsidRPr="00E60E24" w:rsidRDefault="00325120">
      <w:pPr>
        <w:pBdr>
          <w:bottom w:val="single" w:sz="12" w:space="0" w:color="auto"/>
        </w:pBdr>
        <w:tabs>
          <w:tab w:val="left" w:pos="567"/>
          <w:tab w:val="left" w:pos="1134"/>
          <w:tab w:val="left" w:pos="1418"/>
          <w:tab w:val="left" w:pos="5954"/>
        </w:tabs>
        <w:spacing w:line="276" w:lineRule="auto"/>
        <w:jc w:val="both"/>
        <w:rPr>
          <w:rFonts w:ascii="Montserrat" w:hAnsi="Montserrat" w:cs="Arial"/>
          <w:b/>
          <w:sz w:val="22"/>
          <w:szCs w:val="22"/>
        </w:rPr>
      </w:pPr>
      <w:r w:rsidRPr="00E60E24">
        <w:rPr>
          <w:rFonts w:ascii="Montserrat" w:hAnsi="Montserrat" w:cs="Arial"/>
          <w:b/>
          <w:sz w:val="22"/>
          <w:szCs w:val="22"/>
        </w:rPr>
        <w:t>ACUERDO DE LA COMISIÓN REGULADORA DE ENERGÍA POR EL QUE SE EXPIDEN LAS DISPOSICIONES ADMINISTRATIVAS DE CARÁCTER GENERAL QUE ESTABLECEN LA METODOLOGÍA PARA LA DETERMINACIÓN DE TARIFAS APLICABLES A LA PRESTACIÓN DE LOS SERVICIOS DE ALMACENAMIENTO Y TRANSPORTE POR DUCTO DE PETROLÍFEROS, PETROQUÍMICOS Y BIOENERGÉTICOS</w:t>
      </w:r>
    </w:p>
    <w:p w14:paraId="5C6B7A13" w14:textId="19041DEF" w:rsidR="00216B9C" w:rsidRPr="00E60E24" w:rsidRDefault="00216B9C" w:rsidP="00F54BD4">
      <w:pPr>
        <w:pBdr>
          <w:bottom w:val="single" w:sz="12" w:space="0" w:color="auto"/>
        </w:pBdr>
        <w:tabs>
          <w:tab w:val="left" w:pos="567"/>
          <w:tab w:val="left" w:pos="1134"/>
          <w:tab w:val="left" w:pos="1418"/>
          <w:tab w:val="left" w:pos="5954"/>
        </w:tabs>
        <w:spacing w:line="276" w:lineRule="auto"/>
        <w:jc w:val="both"/>
        <w:rPr>
          <w:rFonts w:ascii="Montserrat" w:hAnsi="Montserrat" w:cs="Arial"/>
          <w:b/>
          <w:sz w:val="22"/>
          <w:szCs w:val="22"/>
        </w:rPr>
      </w:pPr>
    </w:p>
    <w:p w14:paraId="48363815" w14:textId="43ED1F37" w:rsidR="00216B9C" w:rsidRPr="00E60E24" w:rsidRDefault="00216B9C" w:rsidP="00216B9C">
      <w:pPr>
        <w:pStyle w:val="Ttulo"/>
        <w:jc w:val="both"/>
        <w:rPr>
          <w:rFonts w:ascii="Montserrat" w:eastAsiaTheme="minorHAnsi" w:hAnsi="Montserrat" w:cs="Arial"/>
          <w:bCs w:val="0"/>
          <w:color w:val="auto"/>
          <w:sz w:val="22"/>
          <w:szCs w:val="22"/>
        </w:rPr>
      </w:pPr>
      <w:r w:rsidRPr="00E60E24">
        <w:rPr>
          <w:rFonts w:ascii="Montserrat" w:eastAsiaTheme="minorHAnsi" w:hAnsi="Montserrat" w:cs="Arial"/>
          <w:bCs w:val="0"/>
          <w:color w:val="auto"/>
          <w:sz w:val="22"/>
          <w:szCs w:val="22"/>
        </w:rPr>
        <w:t>METODOLOGÍA PARA LA DETERMINACIÓN DEL COSTO DE CAPITAL PROPIO APLICABLE A LAS ACTIVIDADES DE TRANSPORTE POR DUCTO Y ALMACENAMIENTO DE PETROLÍFEROS, PETROQUÍMICOS Y BIOENERGÉTICOS</w:t>
      </w:r>
    </w:p>
    <w:p w14:paraId="4C46D955" w14:textId="7554B79F" w:rsidR="006C061C" w:rsidRPr="00E60E24" w:rsidRDefault="006C061C" w:rsidP="00F54BD4">
      <w:pPr>
        <w:pStyle w:val="Textoindependiente"/>
        <w:rPr>
          <w:bCs/>
        </w:rPr>
      </w:pPr>
      <w:r w:rsidRPr="00E60E24">
        <w:rPr>
          <w:rFonts w:ascii="Montserrat" w:hAnsi="Montserrat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EA83C" wp14:editId="1B2C7C80">
                <wp:simplePos x="0" y="0"/>
                <wp:positionH relativeFrom="column">
                  <wp:posOffset>-30480</wp:posOffset>
                </wp:positionH>
                <wp:positionV relativeFrom="paragraph">
                  <wp:posOffset>58116</wp:posOffset>
                </wp:positionV>
                <wp:extent cx="5645150" cy="0"/>
                <wp:effectExtent l="0" t="0" r="0" b="0"/>
                <wp:wrapNone/>
                <wp:docPr id="1849274113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5150" cy="0"/>
                        </a:xfrm>
                        <a:prstGeom prst="line">
                          <a:avLst/>
                        </a:prstGeom>
                        <a:ln w="12700"/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782438" id="Conector recto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4pt,4.6pt" to="442.1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" strokecolor="black [3200]" strokeweight="1pt"/>
            </w:pict>
          </mc:Fallback>
        </mc:AlternateContent>
      </w:r>
    </w:p>
    <w:p w14:paraId="5749CB67" w14:textId="46246ED9" w:rsidR="00777391" w:rsidRPr="00E60E24" w:rsidRDefault="00216B9C" w:rsidP="00877B7D">
      <w:pPr>
        <w:pStyle w:val="Ttulo2"/>
        <w:numPr>
          <w:ilvl w:val="0"/>
          <w:numId w:val="6"/>
        </w:numPr>
        <w:jc w:val="center"/>
        <w:rPr>
          <w:rFonts w:ascii="Montserrat" w:hAnsi="Montserrat"/>
          <w:color w:val="auto"/>
          <w:sz w:val="22"/>
          <w:szCs w:val="22"/>
        </w:rPr>
      </w:pPr>
      <w:bookmarkStart w:id="0" w:name="revisión-del-análisis-tarifario"/>
      <w:r w:rsidRPr="00E60E24">
        <w:rPr>
          <w:rFonts w:ascii="Montserrat" w:hAnsi="Montserrat"/>
          <w:color w:val="auto"/>
          <w:sz w:val="22"/>
          <w:szCs w:val="22"/>
        </w:rPr>
        <w:t>Objetivo</w:t>
      </w:r>
    </w:p>
    <w:p w14:paraId="1CE2C2CF" w14:textId="6B8AB367" w:rsidR="00216B9C" w:rsidRPr="00E60E24" w:rsidRDefault="00216B9C" w:rsidP="00216B9C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Describir los criterios que componen la metodología utilizada por la Comisión Reguladora de Energía (la Comisión) para la determinación del costo de capital aplicable a los </w:t>
      </w:r>
      <w:r w:rsidR="00CE4A1C" w:rsidRPr="00E60E24">
        <w:rPr>
          <w:rFonts w:ascii="Montserrat" w:hAnsi="Montserrat"/>
          <w:sz w:val="22"/>
          <w:szCs w:val="22"/>
        </w:rPr>
        <w:t>p</w:t>
      </w:r>
      <w:r w:rsidRPr="00E60E24">
        <w:rPr>
          <w:rFonts w:ascii="Montserrat" w:hAnsi="Montserrat"/>
          <w:sz w:val="22"/>
          <w:szCs w:val="22"/>
        </w:rPr>
        <w:t xml:space="preserve">ermisionarios de </w:t>
      </w:r>
      <w:r w:rsidR="00CE4A1C" w:rsidRPr="00E60E24">
        <w:rPr>
          <w:rFonts w:ascii="Montserrat" w:hAnsi="Montserrat"/>
          <w:sz w:val="22"/>
          <w:szCs w:val="22"/>
        </w:rPr>
        <w:t>a</w:t>
      </w:r>
      <w:r w:rsidR="007B3E48" w:rsidRPr="00E60E24">
        <w:rPr>
          <w:rFonts w:ascii="Montserrat" w:hAnsi="Montserrat"/>
          <w:sz w:val="22"/>
          <w:szCs w:val="22"/>
        </w:rPr>
        <w:t xml:space="preserve">lmacenamiento y </w:t>
      </w:r>
      <w:r w:rsidR="00CE4A1C" w:rsidRPr="00E60E24">
        <w:rPr>
          <w:rFonts w:ascii="Montserrat" w:hAnsi="Montserrat"/>
          <w:sz w:val="22"/>
          <w:szCs w:val="22"/>
        </w:rPr>
        <w:t>t</w:t>
      </w:r>
      <w:r w:rsidRPr="00E60E24">
        <w:rPr>
          <w:rFonts w:ascii="Montserrat" w:hAnsi="Montserrat"/>
          <w:sz w:val="22"/>
          <w:szCs w:val="22"/>
        </w:rPr>
        <w:t xml:space="preserve">ransporte por </w:t>
      </w:r>
      <w:r w:rsidR="00CE4A1C" w:rsidRPr="00E60E24">
        <w:rPr>
          <w:rFonts w:ascii="Montserrat" w:hAnsi="Montserrat"/>
          <w:sz w:val="22"/>
          <w:szCs w:val="22"/>
        </w:rPr>
        <w:t>d</w:t>
      </w:r>
      <w:r w:rsidRPr="00E60E24">
        <w:rPr>
          <w:rFonts w:ascii="Montserrat" w:hAnsi="Montserrat"/>
          <w:sz w:val="22"/>
          <w:szCs w:val="22"/>
        </w:rPr>
        <w:t xml:space="preserve">ucto de </w:t>
      </w:r>
      <w:r w:rsidR="00CE4A1C" w:rsidRPr="00E60E24">
        <w:rPr>
          <w:rFonts w:ascii="Montserrat" w:hAnsi="Montserrat"/>
          <w:sz w:val="22"/>
          <w:szCs w:val="22"/>
        </w:rPr>
        <w:t>p</w:t>
      </w:r>
      <w:r w:rsidRPr="00E60E24">
        <w:rPr>
          <w:rFonts w:ascii="Montserrat" w:hAnsi="Montserrat"/>
          <w:sz w:val="22"/>
          <w:szCs w:val="22"/>
        </w:rPr>
        <w:t xml:space="preserve">etrolíferos, </w:t>
      </w:r>
      <w:r w:rsidR="00CE4A1C" w:rsidRPr="00E60E24">
        <w:rPr>
          <w:rFonts w:ascii="Montserrat" w:hAnsi="Montserrat"/>
          <w:sz w:val="22"/>
          <w:szCs w:val="22"/>
        </w:rPr>
        <w:t>p</w:t>
      </w:r>
      <w:r w:rsidRPr="00E60E24">
        <w:rPr>
          <w:rFonts w:ascii="Montserrat" w:hAnsi="Montserrat"/>
          <w:sz w:val="22"/>
          <w:szCs w:val="22"/>
        </w:rPr>
        <w:t xml:space="preserve">etroquímicos y </w:t>
      </w:r>
      <w:r w:rsidR="00354963" w:rsidRPr="00E60E24">
        <w:rPr>
          <w:rFonts w:ascii="Montserrat" w:hAnsi="Montserrat"/>
          <w:sz w:val="22"/>
          <w:szCs w:val="22"/>
        </w:rPr>
        <w:t>b</w:t>
      </w:r>
      <w:r w:rsidRPr="00E60E24">
        <w:rPr>
          <w:rFonts w:ascii="Montserrat" w:hAnsi="Montserrat"/>
          <w:sz w:val="22"/>
          <w:szCs w:val="22"/>
        </w:rPr>
        <w:t>ioenergéticos en México.</w:t>
      </w:r>
      <w:bookmarkStart w:id="1" w:name="modelo-del-capm"/>
    </w:p>
    <w:p w14:paraId="79AD2C30" w14:textId="77777777" w:rsidR="00216B9C" w:rsidRPr="00E60E24" w:rsidRDefault="00216B9C" w:rsidP="00216B9C">
      <w:pPr>
        <w:pStyle w:val="Textoindependiente"/>
        <w:rPr>
          <w:sz w:val="22"/>
          <w:szCs w:val="22"/>
        </w:rPr>
      </w:pPr>
    </w:p>
    <w:p w14:paraId="3677ADAD" w14:textId="355BC6B4" w:rsidR="00777391" w:rsidRPr="00E60E24" w:rsidRDefault="001E2522" w:rsidP="006E294A">
      <w:pPr>
        <w:pStyle w:val="Ttulo3"/>
        <w:jc w:val="both"/>
        <w:rPr>
          <w:rFonts w:ascii="Montserrat" w:hAnsi="Montserrat"/>
          <w:color w:val="auto"/>
          <w:sz w:val="22"/>
          <w:szCs w:val="22"/>
        </w:rPr>
      </w:pPr>
      <w:r w:rsidRPr="00E60E24">
        <w:rPr>
          <w:rFonts w:ascii="Montserrat" w:hAnsi="Montserrat"/>
          <w:color w:val="auto"/>
          <w:sz w:val="22"/>
          <w:szCs w:val="22"/>
        </w:rPr>
        <w:t xml:space="preserve">1.1. Modelo </w:t>
      </w:r>
      <w:r w:rsidR="006E788F" w:rsidRPr="00E60E24">
        <w:rPr>
          <w:rFonts w:ascii="Montserrat" w:hAnsi="Montserrat"/>
          <w:color w:val="auto"/>
          <w:sz w:val="22"/>
          <w:szCs w:val="22"/>
        </w:rPr>
        <w:t>d</w:t>
      </w:r>
      <w:r w:rsidRPr="00E60E24">
        <w:rPr>
          <w:rFonts w:ascii="Montserrat" w:hAnsi="Montserrat"/>
          <w:color w:val="auto"/>
          <w:sz w:val="22"/>
          <w:szCs w:val="22"/>
        </w:rPr>
        <w:t>el CAPM</w:t>
      </w:r>
    </w:p>
    <w:p w14:paraId="284E9220" w14:textId="45CC491A" w:rsidR="00777391" w:rsidRPr="00E60E24" w:rsidRDefault="003B234D" w:rsidP="006E294A">
      <w:pPr>
        <w:pStyle w:val="FirstParagraph"/>
        <w:jc w:val="both"/>
        <w:rPr>
          <w:rFonts w:ascii="Montserrat" w:hAnsi="Montserrat"/>
          <w:sz w:val="22"/>
        </w:rPr>
      </w:pPr>
      <w:r w:rsidRPr="00E60E24">
        <w:rPr>
          <w:rFonts w:ascii="Montserrat" w:hAnsi="Montserrat"/>
          <w:sz w:val="22"/>
          <w:szCs w:val="22"/>
        </w:rPr>
        <w:t xml:space="preserve">Con el objetivo de autorizar una tasa de rentabilidad apropiada para las actividades de </w:t>
      </w:r>
      <w:r w:rsidR="00220CEE" w:rsidRPr="00E60E24">
        <w:rPr>
          <w:rFonts w:ascii="Montserrat" w:hAnsi="Montserrat"/>
          <w:sz w:val="22"/>
          <w:szCs w:val="22"/>
        </w:rPr>
        <w:t>a</w:t>
      </w:r>
      <w:r w:rsidR="007B3E48" w:rsidRPr="00E60E24">
        <w:rPr>
          <w:rFonts w:ascii="Montserrat" w:hAnsi="Montserrat"/>
          <w:sz w:val="22"/>
          <w:szCs w:val="22"/>
        </w:rPr>
        <w:t xml:space="preserve">lmacenamiento y </w:t>
      </w:r>
      <w:r w:rsidR="00220CEE" w:rsidRPr="00E60E24">
        <w:rPr>
          <w:rFonts w:ascii="Montserrat" w:hAnsi="Montserrat"/>
          <w:sz w:val="22"/>
          <w:szCs w:val="22"/>
        </w:rPr>
        <w:t>t</w:t>
      </w:r>
      <w:r w:rsidRPr="00E60E24">
        <w:rPr>
          <w:rFonts w:ascii="Montserrat" w:hAnsi="Montserrat"/>
          <w:sz w:val="22"/>
          <w:szCs w:val="22"/>
        </w:rPr>
        <w:t xml:space="preserve">ransporte por </w:t>
      </w:r>
      <w:r w:rsidR="00220CEE" w:rsidRPr="00E60E24">
        <w:rPr>
          <w:rFonts w:ascii="Montserrat" w:hAnsi="Montserrat"/>
          <w:sz w:val="22"/>
          <w:szCs w:val="22"/>
        </w:rPr>
        <w:t>d</w:t>
      </w:r>
      <w:r w:rsidRPr="00E60E24">
        <w:rPr>
          <w:rFonts w:ascii="Montserrat" w:hAnsi="Montserrat"/>
          <w:sz w:val="22"/>
          <w:szCs w:val="22"/>
        </w:rPr>
        <w:t>ucto</w:t>
      </w:r>
      <w:r w:rsidR="007B3E48" w:rsidRPr="00E60E24">
        <w:rPr>
          <w:rFonts w:ascii="Montserrat" w:hAnsi="Montserrat"/>
          <w:sz w:val="22"/>
          <w:szCs w:val="22"/>
        </w:rPr>
        <w:t xml:space="preserve"> </w:t>
      </w:r>
      <w:r w:rsidRPr="00E60E24">
        <w:rPr>
          <w:rFonts w:ascii="Montserrat" w:hAnsi="Montserrat"/>
          <w:sz w:val="22"/>
          <w:szCs w:val="22"/>
        </w:rPr>
        <w:t xml:space="preserve">de </w:t>
      </w:r>
      <w:r w:rsidR="00220CEE" w:rsidRPr="00E60E24">
        <w:rPr>
          <w:rFonts w:ascii="Montserrat" w:hAnsi="Montserrat"/>
          <w:sz w:val="22"/>
          <w:szCs w:val="22"/>
        </w:rPr>
        <w:t>p</w:t>
      </w:r>
      <w:r w:rsidRPr="00E60E24">
        <w:rPr>
          <w:rFonts w:ascii="Montserrat" w:hAnsi="Montserrat"/>
          <w:sz w:val="22"/>
          <w:szCs w:val="22"/>
        </w:rPr>
        <w:t xml:space="preserve">etrolíferos, </w:t>
      </w:r>
      <w:r w:rsidR="00220CEE" w:rsidRPr="00E60E24">
        <w:rPr>
          <w:rFonts w:ascii="Montserrat" w:hAnsi="Montserrat"/>
          <w:sz w:val="22"/>
          <w:szCs w:val="22"/>
        </w:rPr>
        <w:t>p</w:t>
      </w:r>
      <w:r w:rsidRPr="00E60E24">
        <w:rPr>
          <w:rFonts w:ascii="Montserrat" w:hAnsi="Montserrat"/>
          <w:sz w:val="22"/>
          <w:szCs w:val="22"/>
        </w:rPr>
        <w:t xml:space="preserve">etroquímicos y </w:t>
      </w:r>
      <w:r w:rsidR="00220CEE" w:rsidRPr="00E60E24">
        <w:rPr>
          <w:rFonts w:ascii="Montserrat" w:hAnsi="Montserrat"/>
          <w:sz w:val="22"/>
          <w:szCs w:val="22"/>
        </w:rPr>
        <w:t>b</w:t>
      </w:r>
      <w:r w:rsidRPr="00E60E24">
        <w:rPr>
          <w:rFonts w:ascii="Montserrat" w:hAnsi="Montserrat"/>
          <w:sz w:val="22"/>
          <w:szCs w:val="22"/>
        </w:rPr>
        <w:t xml:space="preserve">ioenergéticos en México, </w:t>
      </w:r>
      <w:r w:rsidRPr="00E60E24">
        <w:rPr>
          <w:rFonts w:ascii="Montserrat" w:hAnsi="Montserrat"/>
          <w:sz w:val="22"/>
        </w:rPr>
        <w:t xml:space="preserve">la Comisión determinó </w:t>
      </w:r>
      <w:r w:rsidR="00494E4E" w:rsidRPr="00E60E24">
        <w:rPr>
          <w:rFonts w:ascii="Montserrat" w:hAnsi="Montserrat"/>
          <w:sz w:val="22"/>
          <w:szCs w:val="22"/>
        </w:rPr>
        <w:t xml:space="preserve">el cálculo de </w:t>
      </w:r>
      <w:r w:rsidRPr="00E60E24">
        <w:rPr>
          <w:rFonts w:ascii="Montserrat" w:hAnsi="Montserrat"/>
          <w:sz w:val="22"/>
        </w:rPr>
        <w:t>la tasa</w:t>
      </w:r>
      <w:r w:rsidR="00494E4E" w:rsidRPr="00E60E24">
        <w:rPr>
          <w:rFonts w:ascii="Montserrat" w:hAnsi="Montserrat"/>
          <w:sz w:val="22"/>
          <w:szCs w:val="22"/>
        </w:rPr>
        <w:t>,</w:t>
      </w:r>
      <w:r w:rsidRPr="00E60E24">
        <w:rPr>
          <w:rFonts w:ascii="Montserrat" w:hAnsi="Montserrat"/>
          <w:sz w:val="22"/>
        </w:rPr>
        <w:t xml:space="preserve"> conforme a la </w:t>
      </w:r>
      <w:r w:rsidR="000D40FB" w:rsidRPr="00E60E24">
        <w:rPr>
          <w:rFonts w:ascii="Montserrat" w:hAnsi="Montserrat"/>
          <w:sz w:val="22"/>
        </w:rPr>
        <w:t xml:space="preserve">fórmula </w:t>
      </w:r>
      <w:r w:rsidR="00B32928" w:rsidRPr="00E60E24">
        <w:rPr>
          <w:rFonts w:ascii="Montserrat" w:hAnsi="Montserrat"/>
          <w:sz w:val="22"/>
          <w:szCs w:val="22"/>
        </w:rPr>
        <w:t>para determinar el rendimiento esperado del activo</w:t>
      </w:r>
      <w:r w:rsidR="004062B8" w:rsidRPr="00E60E24">
        <w:rPr>
          <w:rFonts w:ascii="Montserrat" w:hAnsi="Montserrat"/>
          <w:sz w:val="22"/>
        </w:rPr>
        <w:t>:</w:t>
      </w:r>
    </w:p>
    <w:p w14:paraId="2C7AC82A" w14:textId="289F22EF" w:rsidR="00ED6504" w:rsidRPr="00E60E24" w:rsidRDefault="003B234D" w:rsidP="00E60E24">
      <w:pPr>
        <w:pStyle w:val="FirstParagraph"/>
        <w:jc w:val="both"/>
        <w:rPr>
          <w:lang w:val="en-US"/>
        </w:rPr>
      </w:pPr>
      <m:oMath>
        <m:r>
          <w:rPr>
            <w:rFonts w:ascii="Cambria Math" w:hAnsi="Cambria Math"/>
            <w:sz w:val="22"/>
          </w:rPr>
          <m:t>E (ri)</m:t>
        </m:r>
        <m:r>
          <m:rPr>
            <m:sty m:val="p"/>
          </m:rPr>
          <w:rPr>
            <w:rFonts w:ascii="Cambria Math" w:hAnsi="Cambria Math"/>
            <w:sz w:val="22"/>
          </w:rPr>
          <m:t>=</m:t>
        </m:r>
        <m:r>
          <w:rPr>
            <w:rFonts w:ascii="Cambria Math" w:hAnsi="Cambria Math"/>
            <w:sz w:val="22"/>
          </w:rPr>
          <m:t>rf</m:t>
        </m:r>
        <m:r>
          <m:rPr>
            <m:sty m:val="p"/>
          </m:rPr>
          <w:rPr>
            <w:rFonts w:ascii="Cambria Math" w:hAnsi="Cambria Math"/>
            <w:sz w:val="22"/>
          </w:rPr>
          <m:t>+</m:t>
        </m:r>
        <m:r>
          <w:rPr>
            <w:rFonts w:ascii="Cambria Math" w:hAnsi="Cambria Math"/>
            <w:sz w:val="22"/>
          </w:rPr>
          <m:t>β[ E</m:t>
        </m:r>
        <m:d>
          <m:dPr>
            <m:ctrlPr>
              <w:rPr>
                <w:rFonts w:ascii="Cambria Math" w:hAnsi="Cambria Math"/>
                <w:i/>
                <w:sz w:val="22"/>
              </w:rPr>
            </m:ctrlPr>
          </m:dPr>
          <m:e>
            <m:r>
              <w:rPr>
                <w:rFonts w:ascii="Cambria Math" w:hAnsi="Cambria Math"/>
                <w:sz w:val="22"/>
              </w:rPr>
              <m:t>rm</m:t>
            </m:r>
          </m:e>
        </m:d>
        <m:r>
          <w:rPr>
            <w:rFonts w:ascii="Cambria Math" w:hAnsi="Cambria Math"/>
            <w:sz w:val="22"/>
          </w:rPr>
          <m:t>-rf]</m:t>
        </m:r>
      </m:oMath>
      <w:r w:rsidR="00F73EE7" w:rsidRPr="00E60E24">
        <w:rPr>
          <w:rFonts w:ascii="Montserrat" w:eastAsiaTheme="minorEastAsia" w:hAnsi="Montserrat"/>
          <w:sz w:val="22"/>
          <w:szCs w:val="22"/>
          <w:lang w:val="en-US"/>
        </w:rPr>
        <w:t xml:space="preserve"> (Ross, 2018)</w:t>
      </w:r>
      <w:r w:rsidR="00BA7439" w:rsidRPr="00E60E24">
        <w:rPr>
          <w:rStyle w:val="Refdenotaalpie"/>
          <w:rFonts w:ascii="Montserrat" w:hAnsi="Montserrat"/>
          <w:sz w:val="22"/>
          <w:szCs w:val="22"/>
          <w:lang w:val="en-US"/>
        </w:rPr>
        <w:footnoteReference w:id="2"/>
      </w:r>
    </w:p>
    <w:p w14:paraId="23FBFFDA" w14:textId="13E7537E" w:rsidR="00777391" w:rsidRPr="00E60E24" w:rsidRDefault="004062B8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Donde:</w:t>
      </w:r>
    </w:p>
    <w:p w14:paraId="15932557" w14:textId="43BAA108" w:rsidR="00777391" w:rsidRPr="00E60E24" w:rsidRDefault="003B234D" w:rsidP="006E294A">
      <w:pPr>
        <w:numPr>
          <w:ilvl w:val="0"/>
          <w:numId w:val="2"/>
        </w:numPr>
        <w:jc w:val="both"/>
        <w:rPr>
          <w:rFonts w:ascii="Montserrat" w:hAnsi="Montserrat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E (ri)</m:t>
        </m:r>
      </m:oMath>
      <w:r w:rsidR="00CF28AB" w:rsidRPr="00E60E24">
        <w:rPr>
          <w:rFonts w:ascii="Montserrat" w:hAnsi="Montserrat"/>
          <w:sz w:val="22"/>
          <w:szCs w:val="22"/>
        </w:rPr>
        <w:t>.</w:t>
      </w:r>
      <w:r w:rsidR="004062B8" w:rsidRPr="00E60E24">
        <w:rPr>
          <w:rFonts w:ascii="Montserrat" w:hAnsi="Montserrat"/>
          <w:sz w:val="22"/>
          <w:szCs w:val="22"/>
        </w:rPr>
        <w:t xml:space="preserve"> </w:t>
      </w:r>
      <w:r w:rsidR="00CF28AB" w:rsidRPr="00E60E24">
        <w:rPr>
          <w:rFonts w:ascii="Montserrat" w:hAnsi="Montserrat"/>
          <w:sz w:val="22"/>
          <w:szCs w:val="22"/>
        </w:rPr>
        <w:t>R</w:t>
      </w:r>
      <w:r w:rsidR="004062B8" w:rsidRPr="00E60E24">
        <w:rPr>
          <w:rFonts w:ascii="Montserrat" w:hAnsi="Montserrat"/>
          <w:sz w:val="22"/>
          <w:szCs w:val="22"/>
        </w:rPr>
        <w:t>epresenta la tasa de retorno del activo invertido, en este caso del sector energético.</w:t>
      </w:r>
    </w:p>
    <w:p w14:paraId="490C3799" w14:textId="650A329D" w:rsidR="00777391" w:rsidRPr="00E60E24" w:rsidRDefault="003B234D" w:rsidP="006E294A">
      <w:pPr>
        <w:numPr>
          <w:ilvl w:val="0"/>
          <w:numId w:val="2"/>
        </w:numPr>
        <w:jc w:val="both"/>
        <w:rPr>
          <w:rFonts w:ascii="Montserrat" w:hAnsi="Montserrat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rf</m:t>
        </m:r>
      </m:oMath>
      <w:r w:rsidR="004062B8" w:rsidRPr="00E60E24">
        <w:rPr>
          <w:rFonts w:ascii="Montserrat" w:hAnsi="Montserrat"/>
          <w:sz w:val="22"/>
          <w:szCs w:val="22"/>
        </w:rPr>
        <w:t xml:space="preserve">. Es la tasa que no </w:t>
      </w:r>
      <w:r w:rsidR="00CF28AB" w:rsidRPr="00E60E24">
        <w:rPr>
          <w:rFonts w:ascii="Montserrat" w:hAnsi="Montserrat"/>
          <w:sz w:val="22"/>
          <w:szCs w:val="22"/>
        </w:rPr>
        <w:t>tiene riesgo para los inversionistas</w:t>
      </w:r>
      <w:r w:rsidR="004062B8" w:rsidRPr="00E60E24">
        <w:rPr>
          <w:rFonts w:ascii="Montserrat" w:hAnsi="Montserrat"/>
          <w:sz w:val="22"/>
          <w:szCs w:val="22"/>
        </w:rPr>
        <w:t>. Generalmente</w:t>
      </w:r>
      <w:r w:rsidR="00CF28AB" w:rsidRPr="00E60E24">
        <w:rPr>
          <w:rFonts w:ascii="Montserrat" w:hAnsi="Montserrat"/>
          <w:sz w:val="22"/>
          <w:szCs w:val="22"/>
        </w:rPr>
        <w:t>,</w:t>
      </w:r>
      <w:r w:rsidR="004062B8" w:rsidRPr="00E60E24">
        <w:rPr>
          <w:rFonts w:ascii="Montserrat" w:hAnsi="Montserrat"/>
          <w:sz w:val="22"/>
          <w:szCs w:val="22"/>
        </w:rPr>
        <w:t xml:space="preserve"> se utiliza</w:t>
      </w:r>
      <w:r w:rsidR="00CF28AB" w:rsidRPr="00E60E24">
        <w:rPr>
          <w:rFonts w:ascii="Montserrat" w:hAnsi="Montserrat"/>
          <w:sz w:val="22"/>
          <w:szCs w:val="22"/>
        </w:rPr>
        <w:t>n</w:t>
      </w:r>
      <w:r w:rsidR="004062B8" w:rsidRPr="00E60E24">
        <w:rPr>
          <w:rFonts w:ascii="Montserrat" w:hAnsi="Montserrat"/>
          <w:sz w:val="22"/>
          <w:szCs w:val="22"/>
        </w:rPr>
        <w:t xml:space="preserve"> los bonos de gobierno</w:t>
      </w:r>
      <w:r w:rsidR="00CF28AB" w:rsidRPr="00E60E24">
        <w:rPr>
          <w:rFonts w:ascii="Montserrat" w:hAnsi="Montserrat"/>
          <w:sz w:val="22"/>
          <w:szCs w:val="22"/>
        </w:rPr>
        <w:t xml:space="preserve"> como referencia para determinar la tasa</w:t>
      </w:r>
      <w:r w:rsidR="003F1794" w:rsidRPr="00E60E24">
        <w:rPr>
          <w:rFonts w:ascii="Montserrat" w:hAnsi="Montserrat"/>
          <w:sz w:val="22"/>
          <w:szCs w:val="22"/>
        </w:rPr>
        <w:t xml:space="preserve">. </w:t>
      </w:r>
      <w:r w:rsidR="003F1794" w:rsidRPr="00E60E24">
        <w:rPr>
          <w:rFonts w:ascii="Montserrat" w:hAnsi="Montserrat"/>
          <w:sz w:val="22"/>
          <w:szCs w:val="22"/>
        </w:rPr>
        <w:lastRenderedPageBreak/>
        <w:t xml:space="preserve">Para el presente análisis, se utilizaron los bonos del tesoro del Gobierno de Estados Unidos de América a 30 </w:t>
      </w:r>
      <w:r w:rsidR="001B1F29" w:rsidRPr="00E60E24">
        <w:rPr>
          <w:rFonts w:ascii="Montserrat" w:hAnsi="Montserrat"/>
          <w:sz w:val="22"/>
          <w:szCs w:val="22"/>
        </w:rPr>
        <w:t xml:space="preserve">(treinta) </w:t>
      </w:r>
      <w:r w:rsidR="003F1794" w:rsidRPr="00E60E24">
        <w:rPr>
          <w:rFonts w:ascii="Montserrat" w:hAnsi="Montserrat"/>
          <w:sz w:val="22"/>
          <w:szCs w:val="22"/>
        </w:rPr>
        <w:t>años.</w:t>
      </w:r>
    </w:p>
    <w:p w14:paraId="6278A046" w14:textId="77777777" w:rsidR="006C061C" w:rsidRPr="00E60E24" w:rsidRDefault="006C061C" w:rsidP="00F54BD4">
      <w:pPr>
        <w:ind w:left="720"/>
        <w:jc w:val="both"/>
        <w:rPr>
          <w:rFonts w:ascii="Montserrat" w:hAnsi="Montserrat"/>
          <w:sz w:val="22"/>
          <w:szCs w:val="22"/>
        </w:rPr>
      </w:pPr>
    </w:p>
    <w:p w14:paraId="0A29253C" w14:textId="092FA792" w:rsidR="007F59C0" w:rsidRPr="00E60E24" w:rsidRDefault="007F59C0" w:rsidP="007F59C0">
      <w:pPr>
        <w:numPr>
          <w:ilvl w:val="0"/>
          <w:numId w:val="2"/>
        </w:numPr>
        <w:jc w:val="both"/>
        <w:rPr>
          <w:rFonts w:ascii="Montserrat" w:hAnsi="Montserrat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(β</m:t>
        </m:r>
      </m:oMath>
      <w:r w:rsidRPr="00E60E24">
        <w:rPr>
          <w:rFonts w:ascii="Montserrat" w:eastAsiaTheme="minorEastAsia" w:hAnsi="Montserrat"/>
          <w:sz w:val="22"/>
          <w:szCs w:val="22"/>
        </w:rPr>
        <w:t>)</w:t>
      </w:r>
      <w:r w:rsidR="003B234D" w:rsidRPr="00E60E24">
        <w:rPr>
          <w:rFonts w:ascii="Montserrat" w:eastAsiaTheme="minorEastAsia" w:hAnsi="Montserrat"/>
          <w:sz w:val="22"/>
          <w:szCs w:val="22"/>
        </w:rPr>
        <w:t xml:space="preserve"> Beta</w:t>
      </w:r>
      <w:r w:rsidRPr="00E60E24">
        <w:rPr>
          <w:rFonts w:ascii="Montserrat" w:hAnsi="Montserrat"/>
          <w:sz w:val="22"/>
          <w:szCs w:val="22"/>
        </w:rPr>
        <w:t>. Es el coeficiente que permite conocer la relación que tiene el sector energético respecto del mercado internacional. Si el coeficiente es mayor que 1 implica que existe una mayor variación de ganancias/pérdidas del sector energético respecto del mercado internacional; si el coeficiente es menor que 1 implica que existe una menor variación de ganancias/pérdidas del sector energético respecto del mercado internacional</w:t>
      </w:r>
      <w:r w:rsidR="00F2528E" w:rsidRPr="00E60E24">
        <w:rPr>
          <w:rFonts w:ascii="Montserrat" w:hAnsi="Montserrat"/>
          <w:sz w:val="22"/>
          <w:szCs w:val="22"/>
        </w:rPr>
        <w:t>; si el coeficiente es 1 presenta el mismo riesgo que el mercado en su conjunto</w:t>
      </w:r>
      <w:r w:rsidRPr="00E60E24">
        <w:rPr>
          <w:rFonts w:ascii="Montserrat" w:hAnsi="Montserrat"/>
          <w:sz w:val="22"/>
          <w:szCs w:val="22"/>
        </w:rPr>
        <w:t>.</w:t>
      </w:r>
    </w:p>
    <w:p w14:paraId="186118D7" w14:textId="5FE2E174" w:rsidR="003B234D" w:rsidRPr="00E60E24" w:rsidRDefault="003B234D" w:rsidP="006E294A">
      <w:pPr>
        <w:numPr>
          <w:ilvl w:val="0"/>
          <w:numId w:val="2"/>
        </w:numPr>
        <w:jc w:val="both"/>
        <w:rPr>
          <w:rFonts w:ascii="Montserrat" w:hAnsi="Montserrat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rm</m:t>
        </m:r>
      </m:oMath>
      <w:r w:rsidR="004062B8" w:rsidRPr="00E60E24">
        <w:rPr>
          <w:rFonts w:ascii="Montserrat" w:hAnsi="Montserrat"/>
          <w:sz w:val="22"/>
          <w:szCs w:val="22"/>
        </w:rPr>
        <w:t>. Es la tasa promedio del mercado internacional. Incluye la mayor parte del sector económico. Para es</w:t>
      </w:r>
      <w:r w:rsidR="00ED6504" w:rsidRPr="00E60E24">
        <w:rPr>
          <w:rFonts w:ascii="Montserrat" w:hAnsi="Montserrat"/>
          <w:sz w:val="22"/>
          <w:szCs w:val="22"/>
        </w:rPr>
        <w:t xml:space="preserve">te </w:t>
      </w:r>
      <w:r w:rsidR="007F59C0" w:rsidRPr="00E60E24">
        <w:rPr>
          <w:rFonts w:ascii="Montserrat" w:hAnsi="Montserrat"/>
          <w:sz w:val="22"/>
          <w:szCs w:val="22"/>
        </w:rPr>
        <w:t>estudio</w:t>
      </w:r>
      <w:r w:rsidR="00ED6504" w:rsidRPr="00E60E24">
        <w:rPr>
          <w:rFonts w:ascii="Montserrat" w:hAnsi="Montserrat"/>
          <w:sz w:val="22"/>
          <w:szCs w:val="22"/>
        </w:rPr>
        <w:t>,</w:t>
      </w:r>
      <w:r w:rsidR="004062B8" w:rsidRPr="00E60E24">
        <w:rPr>
          <w:rFonts w:ascii="Montserrat" w:hAnsi="Montserrat"/>
          <w:sz w:val="22"/>
          <w:szCs w:val="22"/>
        </w:rPr>
        <w:t xml:space="preserve"> se ocupa el </w:t>
      </w:r>
      <w:r w:rsidR="00B27A9C" w:rsidRPr="00E60E24">
        <w:rPr>
          <w:rFonts w:ascii="Montserrat" w:hAnsi="Montserrat"/>
          <w:sz w:val="22"/>
          <w:szCs w:val="22"/>
        </w:rPr>
        <w:t xml:space="preserve">índice </w:t>
      </w:r>
      <w:r w:rsidR="00C71CC8" w:rsidRPr="00E60E24">
        <w:rPr>
          <w:rFonts w:ascii="Montserrat" w:hAnsi="Montserrat"/>
          <w:sz w:val="22"/>
          <w:szCs w:val="22"/>
        </w:rPr>
        <w:t xml:space="preserve">Standard and </w:t>
      </w:r>
      <w:proofErr w:type="spellStart"/>
      <w:r w:rsidR="00C71CC8" w:rsidRPr="00E60E24">
        <w:rPr>
          <w:rFonts w:ascii="Montserrat" w:hAnsi="Montserrat"/>
          <w:sz w:val="22"/>
          <w:szCs w:val="22"/>
        </w:rPr>
        <w:t>Poor´s</w:t>
      </w:r>
      <w:proofErr w:type="spellEnd"/>
      <w:r w:rsidR="00C71CC8" w:rsidRPr="00E60E24">
        <w:rPr>
          <w:rFonts w:ascii="Montserrat" w:hAnsi="Montserrat"/>
          <w:sz w:val="22"/>
          <w:szCs w:val="22"/>
        </w:rPr>
        <w:t xml:space="preserve"> 500 (</w:t>
      </w:r>
      <w:r w:rsidR="004062B8" w:rsidRPr="00E60E24">
        <w:rPr>
          <w:rFonts w:ascii="Montserrat" w:hAnsi="Montserrat"/>
          <w:sz w:val="22"/>
          <w:szCs w:val="22"/>
        </w:rPr>
        <w:t>SP&amp;500</w:t>
      </w:r>
      <w:r w:rsidR="00C71CC8" w:rsidRPr="00E60E24">
        <w:rPr>
          <w:rFonts w:ascii="Montserrat" w:hAnsi="Montserrat"/>
          <w:sz w:val="22"/>
          <w:szCs w:val="22"/>
        </w:rPr>
        <w:t>)</w:t>
      </w:r>
      <w:r w:rsidR="004062B8" w:rsidRPr="00E60E24">
        <w:rPr>
          <w:rFonts w:ascii="Montserrat" w:hAnsi="Montserrat"/>
          <w:sz w:val="22"/>
          <w:szCs w:val="22"/>
        </w:rPr>
        <w:t>, por ser representativo en el mercado internacional.</w:t>
      </w:r>
    </w:p>
    <w:p w14:paraId="74BDBCE0" w14:textId="5D353A88" w:rsidR="00777391" w:rsidRPr="00E60E24" w:rsidRDefault="00337BBB" w:rsidP="006E294A">
      <w:pPr>
        <w:numPr>
          <w:ilvl w:val="0"/>
          <w:numId w:val="2"/>
        </w:numPr>
        <w:jc w:val="both"/>
        <w:rPr>
          <w:rFonts w:ascii="Montserrat" w:hAnsi="Montserrat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 xml:space="preserve"> E</m:t>
        </m:r>
        <m:d>
          <m:dPr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rm</m:t>
            </m:r>
          </m:e>
        </m:d>
        <m:r>
          <w:rPr>
            <w:rFonts w:ascii="Cambria Math" w:hAnsi="Cambria Math"/>
            <w:sz w:val="22"/>
            <w:szCs w:val="22"/>
          </w:rPr>
          <m:t>-rf</m:t>
        </m:r>
      </m:oMath>
      <w:r w:rsidR="003B234D" w:rsidRPr="00E60E24">
        <w:rPr>
          <w:rFonts w:eastAsiaTheme="minorEastAsia"/>
          <w:sz w:val="22"/>
          <w:szCs w:val="22"/>
        </w:rPr>
        <w:t xml:space="preserve">. </w:t>
      </w:r>
      <w:r w:rsidR="003B234D" w:rsidRPr="00E60E24">
        <w:rPr>
          <w:rFonts w:ascii="Montserrat" w:hAnsi="Montserrat"/>
          <w:sz w:val="22"/>
          <w:szCs w:val="22"/>
        </w:rPr>
        <w:t>Es el premio que paga el mercado sobre el activo libre de riesgo.</w:t>
      </w:r>
    </w:p>
    <w:p w14:paraId="5E135E41" w14:textId="77777777" w:rsidR="003B234D" w:rsidRPr="00E60E24" w:rsidRDefault="003B234D" w:rsidP="003B234D">
      <w:pPr>
        <w:ind w:left="720"/>
        <w:jc w:val="both"/>
        <w:rPr>
          <w:rFonts w:ascii="Montserrat" w:hAnsi="Montserrat"/>
          <w:sz w:val="22"/>
          <w:szCs w:val="22"/>
        </w:rPr>
      </w:pPr>
    </w:p>
    <w:p w14:paraId="5DBCCDCB" w14:textId="2908FC89" w:rsidR="00877B7D" w:rsidRPr="00E60E24" w:rsidRDefault="006E788F" w:rsidP="00877B7D">
      <w:pPr>
        <w:pStyle w:val="Ttulo3"/>
        <w:jc w:val="both"/>
        <w:rPr>
          <w:rFonts w:ascii="Montserrat" w:hAnsi="Montserrat"/>
          <w:color w:val="auto"/>
          <w:sz w:val="22"/>
          <w:szCs w:val="22"/>
        </w:rPr>
      </w:pPr>
      <w:bookmarkStart w:id="2" w:name="datos"/>
      <w:bookmarkEnd w:id="1"/>
      <w:r w:rsidRPr="00E60E24">
        <w:rPr>
          <w:rFonts w:ascii="Montserrat" w:hAnsi="Montserrat"/>
          <w:color w:val="auto"/>
          <w:sz w:val="22"/>
          <w:szCs w:val="22"/>
        </w:rPr>
        <w:t>1.2. Datos</w:t>
      </w:r>
      <w:bookmarkStart w:id="3" w:name="beta-capm"/>
      <w:bookmarkEnd w:id="2"/>
    </w:p>
    <w:p w14:paraId="331D1B2D" w14:textId="77777777" w:rsidR="0020007B" w:rsidRPr="00E60E24" w:rsidRDefault="0020007B" w:rsidP="00CF28AB">
      <w:pPr>
        <w:jc w:val="both"/>
        <w:rPr>
          <w:rFonts w:ascii="Montserrat" w:hAnsi="Montserrat"/>
          <w:sz w:val="22"/>
          <w:szCs w:val="22"/>
        </w:rPr>
      </w:pPr>
    </w:p>
    <w:p w14:paraId="388B1B68" w14:textId="7C0BEAE2" w:rsidR="00877B7D" w:rsidRPr="00E60E24" w:rsidRDefault="00CF28AB" w:rsidP="00CF28AB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S</w:t>
      </w:r>
      <w:r w:rsidR="00877B7D" w:rsidRPr="00E60E24">
        <w:rPr>
          <w:rFonts w:ascii="Montserrat" w:hAnsi="Montserrat"/>
          <w:sz w:val="22"/>
          <w:szCs w:val="22"/>
        </w:rPr>
        <w:t>e</w:t>
      </w:r>
      <w:r w:rsidRPr="00E60E24">
        <w:rPr>
          <w:rFonts w:ascii="Montserrat" w:hAnsi="Montserrat"/>
          <w:sz w:val="22"/>
          <w:szCs w:val="22"/>
        </w:rPr>
        <w:t xml:space="preserve"> tomaron como fuentes de información</w:t>
      </w:r>
      <w:r w:rsidR="00ED6504" w:rsidRPr="00E60E24">
        <w:rPr>
          <w:rFonts w:ascii="Montserrat" w:hAnsi="Montserrat"/>
          <w:sz w:val="22"/>
          <w:szCs w:val="22"/>
        </w:rPr>
        <w:t>:</w:t>
      </w:r>
      <w:r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="00877B7D" w:rsidRPr="00E60E24">
        <w:rPr>
          <w:rFonts w:ascii="Montserrat" w:hAnsi="Montserrat"/>
          <w:sz w:val="22"/>
          <w:szCs w:val="22"/>
        </w:rPr>
        <w:t>Yahoo</w:t>
      </w:r>
      <w:proofErr w:type="spellEnd"/>
      <w:r w:rsidR="00877B7D"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="00877B7D" w:rsidRPr="00E60E24">
        <w:rPr>
          <w:rFonts w:ascii="Montserrat" w:hAnsi="Montserrat"/>
          <w:sz w:val="22"/>
          <w:szCs w:val="22"/>
        </w:rPr>
        <w:t>Finance</w:t>
      </w:r>
      <w:proofErr w:type="spellEnd"/>
      <w:r w:rsidR="00877B7D" w:rsidRPr="00E60E24">
        <w:rPr>
          <w:rFonts w:ascii="Montserrat" w:hAnsi="Montserrat"/>
          <w:sz w:val="22"/>
          <w:szCs w:val="22"/>
        </w:rPr>
        <w:t xml:space="preserve">, Reuters, </w:t>
      </w:r>
      <w:r w:rsidRPr="00E60E24">
        <w:rPr>
          <w:rFonts w:ascii="Montserrat" w:hAnsi="Montserrat"/>
          <w:sz w:val="22"/>
          <w:szCs w:val="22"/>
        </w:rPr>
        <w:t>y los datos de</w:t>
      </w:r>
      <w:r w:rsidR="003B234D" w:rsidRPr="00E60E24">
        <w:rPr>
          <w:rFonts w:ascii="Montserrat" w:hAnsi="Montserrat"/>
          <w:sz w:val="22"/>
          <w:szCs w:val="22"/>
        </w:rPr>
        <w:t xml:space="preserve"> Banco de México y </w:t>
      </w:r>
      <w:r w:rsidR="007B3E48" w:rsidRPr="00E60E24">
        <w:rPr>
          <w:rFonts w:ascii="Montserrat" w:hAnsi="Montserrat"/>
          <w:sz w:val="22"/>
          <w:szCs w:val="22"/>
        </w:rPr>
        <w:t xml:space="preserve">el </w:t>
      </w:r>
      <w:r w:rsidR="003418F8" w:rsidRPr="00E60E24">
        <w:rPr>
          <w:rFonts w:ascii="Montserrat" w:hAnsi="Montserrat"/>
          <w:sz w:val="22"/>
          <w:szCs w:val="22"/>
        </w:rPr>
        <w:t>s</w:t>
      </w:r>
      <w:r w:rsidR="007B3E48" w:rsidRPr="00E60E24">
        <w:rPr>
          <w:rFonts w:ascii="Montserrat" w:hAnsi="Montserrat"/>
          <w:sz w:val="22"/>
          <w:szCs w:val="22"/>
        </w:rPr>
        <w:t xml:space="preserve">istema de la </w:t>
      </w:r>
      <w:r w:rsidR="003B234D" w:rsidRPr="00E60E24">
        <w:rPr>
          <w:rFonts w:ascii="Montserrat" w:hAnsi="Montserrat"/>
          <w:sz w:val="22"/>
          <w:szCs w:val="22"/>
        </w:rPr>
        <w:t>Reserva Federal</w:t>
      </w:r>
      <w:r w:rsidRPr="00E60E24">
        <w:rPr>
          <w:rFonts w:ascii="Montserrat" w:hAnsi="Montserrat"/>
          <w:sz w:val="22"/>
          <w:szCs w:val="22"/>
        </w:rPr>
        <w:t xml:space="preserve"> </w:t>
      </w:r>
      <w:r w:rsidR="00877B7D" w:rsidRPr="00E60E24">
        <w:rPr>
          <w:rFonts w:ascii="Montserrat" w:hAnsi="Montserrat"/>
          <w:sz w:val="22"/>
          <w:szCs w:val="22"/>
        </w:rPr>
        <w:t>de Estados Unidos</w:t>
      </w:r>
      <w:r w:rsidRPr="00E60E24">
        <w:rPr>
          <w:rFonts w:ascii="Montserrat" w:hAnsi="Montserrat"/>
          <w:sz w:val="22"/>
          <w:szCs w:val="22"/>
        </w:rPr>
        <w:t>.</w:t>
      </w:r>
      <w:r w:rsidR="00877B7D" w:rsidRPr="00E60E24">
        <w:rPr>
          <w:rFonts w:ascii="Montserrat" w:hAnsi="Montserrat"/>
          <w:sz w:val="22"/>
          <w:szCs w:val="22"/>
        </w:rPr>
        <w:t xml:space="preserve"> </w:t>
      </w:r>
    </w:p>
    <w:p w14:paraId="0BE46177" w14:textId="77777777" w:rsidR="00CF28AB" w:rsidRPr="00E60E24" w:rsidRDefault="00CF28AB" w:rsidP="00CF28AB">
      <w:pPr>
        <w:jc w:val="both"/>
        <w:rPr>
          <w:rFonts w:ascii="Montserrat" w:hAnsi="Montserrat"/>
          <w:sz w:val="22"/>
          <w:szCs w:val="22"/>
        </w:rPr>
      </w:pPr>
    </w:p>
    <w:p w14:paraId="38BB38B5" w14:textId="6A662DCE" w:rsidR="00777391" w:rsidRPr="00E60E24" w:rsidRDefault="004062B8" w:rsidP="006E294A">
      <w:pPr>
        <w:pStyle w:val="Ttulo3"/>
        <w:jc w:val="both"/>
        <w:rPr>
          <w:rFonts w:ascii="Montserrat" w:hAnsi="Montserrat"/>
          <w:color w:val="auto"/>
          <w:sz w:val="22"/>
          <w:szCs w:val="22"/>
        </w:rPr>
      </w:pPr>
      <w:r w:rsidRPr="00E60E24">
        <w:rPr>
          <w:rFonts w:ascii="Montserrat" w:hAnsi="Montserrat"/>
          <w:color w:val="auto"/>
          <w:sz w:val="22"/>
          <w:szCs w:val="22"/>
        </w:rPr>
        <w:t>1.2.1. B</w:t>
      </w:r>
      <w:r w:rsidR="006E788F" w:rsidRPr="00E60E24">
        <w:rPr>
          <w:rFonts w:ascii="Montserrat" w:hAnsi="Montserrat"/>
          <w:color w:val="auto"/>
          <w:sz w:val="22"/>
          <w:szCs w:val="22"/>
        </w:rPr>
        <w:t>eta</w:t>
      </w:r>
      <w:r w:rsidRPr="00E60E24">
        <w:rPr>
          <w:rFonts w:ascii="Montserrat" w:hAnsi="Montserrat"/>
          <w:color w:val="auto"/>
          <w:sz w:val="22"/>
          <w:szCs w:val="22"/>
        </w:rPr>
        <w:t xml:space="preserve"> CAPM</w:t>
      </w:r>
    </w:p>
    <w:p w14:paraId="330843A7" w14:textId="703EEBEA" w:rsidR="008604FF" w:rsidRPr="00E60E24" w:rsidRDefault="006142D0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Para</w:t>
      </w:r>
      <w:r w:rsidR="004062B8" w:rsidRPr="00E60E24">
        <w:rPr>
          <w:rFonts w:ascii="Montserrat" w:hAnsi="Montserrat"/>
          <w:sz w:val="22"/>
          <w:szCs w:val="22"/>
        </w:rPr>
        <w:t xml:space="preserve"> analizar la </w:t>
      </w:r>
      <w:r w:rsidR="008F7F3C" w:rsidRPr="00E60E24">
        <w:rPr>
          <w:rFonts w:ascii="Montserrat" w:hAnsi="Montserrat"/>
          <w:sz w:val="22"/>
          <w:szCs w:val="22"/>
        </w:rPr>
        <w:t>b</w:t>
      </w:r>
      <w:r w:rsidR="004062B8" w:rsidRPr="00E60E24">
        <w:rPr>
          <w:rFonts w:ascii="Montserrat" w:hAnsi="Montserrat"/>
          <w:sz w:val="22"/>
          <w:szCs w:val="22"/>
        </w:rPr>
        <w:t xml:space="preserve">eta del CAPM, </w:t>
      </w:r>
      <w:r w:rsidRPr="00E60E24">
        <w:rPr>
          <w:rFonts w:ascii="Montserrat" w:hAnsi="Montserrat"/>
          <w:sz w:val="22"/>
          <w:szCs w:val="22"/>
        </w:rPr>
        <w:t xml:space="preserve">se recurrió al </w:t>
      </w:r>
      <w:r w:rsidR="004062B8" w:rsidRPr="00E60E24">
        <w:rPr>
          <w:rFonts w:ascii="Montserrat" w:hAnsi="Montserrat"/>
          <w:sz w:val="22"/>
          <w:szCs w:val="22"/>
        </w:rPr>
        <w:t>S&amp;P500</w:t>
      </w:r>
      <w:r w:rsidRPr="00E60E24">
        <w:rPr>
          <w:rFonts w:ascii="Montserrat" w:hAnsi="Montserrat"/>
          <w:sz w:val="22"/>
          <w:szCs w:val="22"/>
        </w:rPr>
        <w:t xml:space="preserve">, el cual contiene las 500 empresas más representativas en Estados Unidos que cotizan en la Bolsa de Nueva York </w:t>
      </w:r>
      <w:r w:rsidR="00346E57" w:rsidRPr="00E60E24">
        <w:rPr>
          <w:rFonts w:ascii="Montserrat" w:hAnsi="Montserrat"/>
          <w:sz w:val="22"/>
          <w:szCs w:val="22"/>
        </w:rPr>
        <w:t>y</w:t>
      </w:r>
      <w:r w:rsidRPr="00E60E24">
        <w:rPr>
          <w:rFonts w:ascii="Montserrat" w:hAnsi="Montserrat"/>
          <w:sz w:val="22"/>
          <w:szCs w:val="22"/>
        </w:rPr>
        <w:t xml:space="preserve"> en</w:t>
      </w:r>
      <w:r w:rsidR="00502CE4" w:rsidRPr="00E60E24">
        <w:rPr>
          <w:rFonts w:ascii="Montserrat" w:hAnsi="Montserrat"/>
          <w:sz w:val="22"/>
          <w:szCs w:val="22"/>
        </w:rPr>
        <w:t xml:space="preserve"> la bolsa de valores electrónica</w:t>
      </w:r>
      <w:r w:rsidRPr="00E60E24">
        <w:rPr>
          <w:rFonts w:ascii="Montserrat" w:hAnsi="Montserrat"/>
          <w:sz w:val="22"/>
          <w:szCs w:val="22"/>
        </w:rPr>
        <w:t xml:space="preserve"> NASDAQ</w:t>
      </w:r>
      <w:r w:rsidR="00502CE4" w:rsidRPr="00E60E24">
        <w:rPr>
          <w:rFonts w:ascii="Montserrat" w:hAnsi="Montserrat"/>
          <w:sz w:val="22"/>
          <w:szCs w:val="22"/>
        </w:rPr>
        <w:t xml:space="preserve"> </w:t>
      </w:r>
      <w:r w:rsidR="009C4D98" w:rsidRPr="00E60E24">
        <w:rPr>
          <w:rFonts w:ascii="Montserrat" w:hAnsi="Montserrat"/>
          <w:sz w:val="22"/>
          <w:szCs w:val="22"/>
        </w:rPr>
        <w:t>(</w:t>
      </w:r>
      <w:proofErr w:type="spellStart"/>
      <w:r w:rsidR="009C4D98" w:rsidRPr="00E60E24">
        <w:rPr>
          <w:rFonts w:ascii="Montserrat" w:hAnsi="Montserrat"/>
          <w:sz w:val="22"/>
          <w:szCs w:val="22"/>
        </w:rPr>
        <w:t>National</w:t>
      </w:r>
      <w:proofErr w:type="spellEnd"/>
      <w:r w:rsidR="009C4D98"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="009C4D98" w:rsidRPr="00E60E24">
        <w:rPr>
          <w:rFonts w:ascii="Montserrat" w:hAnsi="Montserrat"/>
          <w:sz w:val="22"/>
          <w:szCs w:val="22"/>
        </w:rPr>
        <w:t>A</w:t>
      </w:r>
      <w:r w:rsidR="00E00486" w:rsidRPr="00E60E24">
        <w:rPr>
          <w:rFonts w:ascii="Montserrat" w:hAnsi="Montserrat"/>
          <w:sz w:val="22"/>
          <w:szCs w:val="22"/>
        </w:rPr>
        <w:t>ssociation</w:t>
      </w:r>
      <w:proofErr w:type="spellEnd"/>
      <w:r w:rsidR="00E00486"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="00E00486" w:rsidRPr="00E60E24">
        <w:rPr>
          <w:rFonts w:ascii="Montserrat" w:hAnsi="Montserrat"/>
          <w:sz w:val="22"/>
          <w:szCs w:val="22"/>
        </w:rPr>
        <w:t>of</w:t>
      </w:r>
      <w:proofErr w:type="spellEnd"/>
      <w:r w:rsidR="00E00486"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="00E00486" w:rsidRPr="00E60E24">
        <w:rPr>
          <w:rFonts w:ascii="Montserrat" w:hAnsi="Montserrat"/>
          <w:sz w:val="22"/>
          <w:szCs w:val="22"/>
        </w:rPr>
        <w:t>Securities</w:t>
      </w:r>
      <w:proofErr w:type="spellEnd"/>
      <w:r w:rsidR="00E00486" w:rsidRPr="00E60E24">
        <w:rPr>
          <w:rFonts w:ascii="Montserrat" w:hAnsi="Montserrat"/>
          <w:sz w:val="22"/>
          <w:szCs w:val="22"/>
        </w:rPr>
        <w:t xml:space="preserve"> Dealers </w:t>
      </w:r>
      <w:proofErr w:type="spellStart"/>
      <w:r w:rsidR="00E00486" w:rsidRPr="00E60E24">
        <w:rPr>
          <w:rFonts w:ascii="Montserrat" w:hAnsi="Montserrat"/>
          <w:sz w:val="22"/>
          <w:szCs w:val="22"/>
        </w:rPr>
        <w:t>Automated</w:t>
      </w:r>
      <w:proofErr w:type="spellEnd"/>
      <w:r w:rsidR="00E00486"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="00E00486" w:rsidRPr="00E60E24">
        <w:rPr>
          <w:rFonts w:ascii="Montserrat" w:hAnsi="Montserrat"/>
          <w:sz w:val="22"/>
          <w:szCs w:val="22"/>
        </w:rPr>
        <w:t>Quotations</w:t>
      </w:r>
      <w:proofErr w:type="spellEnd"/>
      <w:r w:rsidR="00E00486" w:rsidRPr="00E60E24">
        <w:rPr>
          <w:rFonts w:ascii="Montserrat" w:hAnsi="Montserrat"/>
          <w:sz w:val="22"/>
          <w:szCs w:val="22"/>
        </w:rPr>
        <w:t>)</w:t>
      </w:r>
      <w:r w:rsidRPr="00E60E24">
        <w:rPr>
          <w:rFonts w:ascii="Montserrat" w:hAnsi="Montserrat"/>
          <w:sz w:val="22"/>
          <w:szCs w:val="22"/>
        </w:rPr>
        <w:t xml:space="preserve">, para definir </w:t>
      </w:r>
      <w:r w:rsidR="004062B8" w:rsidRPr="00E60E24">
        <w:rPr>
          <w:rFonts w:ascii="Montserrat" w:hAnsi="Montserrat"/>
          <w:sz w:val="22"/>
          <w:szCs w:val="22"/>
        </w:rPr>
        <w:t xml:space="preserve">la tasa de rentabilidad del mercado. </w:t>
      </w:r>
    </w:p>
    <w:p w14:paraId="11424382" w14:textId="38ED6E1D" w:rsidR="00F62103" w:rsidRPr="00E60E24" w:rsidRDefault="006142D0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Además, p</w:t>
      </w:r>
      <w:r w:rsidR="004062B8" w:rsidRPr="00E60E24">
        <w:rPr>
          <w:rFonts w:ascii="Montserrat" w:hAnsi="Montserrat"/>
          <w:sz w:val="22"/>
          <w:szCs w:val="22"/>
        </w:rPr>
        <w:t xml:space="preserve">ara </w:t>
      </w:r>
      <w:r w:rsidR="00F62103" w:rsidRPr="00E60E24">
        <w:rPr>
          <w:rFonts w:ascii="Montserrat" w:hAnsi="Montserrat"/>
          <w:sz w:val="22"/>
          <w:szCs w:val="22"/>
        </w:rPr>
        <w:t>la determinación de la muestra de empresas del mercado energético, se utilizaron los criterios</w:t>
      </w:r>
      <w:r w:rsidR="001B1F29" w:rsidRPr="00E60E24">
        <w:rPr>
          <w:rFonts w:ascii="Montserrat" w:hAnsi="Montserrat"/>
          <w:sz w:val="22"/>
          <w:szCs w:val="22"/>
        </w:rPr>
        <w:t xml:space="preserve"> siguientes</w:t>
      </w:r>
      <w:r w:rsidR="00F62103" w:rsidRPr="00E60E24">
        <w:rPr>
          <w:rFonts w:ascii="Montserrat" w:hAnsi="Montserrat"/>
          <w:sz w:val="22"/>
          <w:szCs w:val="22"/>
        </w:rPr>
        <w:t>:</w:t>
      </w:r>
    </w:p>
    <w:p w14:paraId="41935BBA" w14:textId="4C5E1C1A" w:rsidR="00F62103" w:rsidRPr="00E60E24" w:rsidRDefault="00F62103" w:rsidP="00F62103">
      <w:pPr>
        <w:pStyle w:val="Prrafodelista"/>
        <w:numPr>
          <w:ilvl w:val="0"/>
          <w:numId w:val="8"/>
        </w:numPr>
        <w:spacing w:line="276" w:lineRule="auto"/>
        <w:ind w:left="567" w:hanging="567"/>
        <w:jc w:val="both"/>
        <w:rPr>
          <w:rFonts w:ascii="Montserrat" w:hAnsi="Montserrat" w:cstheme="minorBidi"/>
          <w:sz w:val="22"/>
          <w:szCs w:val="22"/>
          <w:lang w:val="es"/>
        </w:rPr>
      </w:pPr>
      <w:r w:rsidRPr="00E60E24">
        <w:rPr>
          <w:rFonts w:ascii="Montserrat" w:hAnsi="Montserrat" w:cstheme="minorBidi"/>
          <w:sz w:val="22"/>
          <w:szCs w:val="22"/>
          <w:lang w:val="es"/>
        </w:rPr>
        <w:t xml:space="preserve">Contar con información bursátil en sitios web financieros durante un periodo de 5 (cinco) años, considerando el </w:t>
      </w:r>
      <w:r w:rsidR="005F0B8F" w:rsidRPr="00E60E24">
        <w:rPr>
          <w:rFonts w:ascii="Montserrat" w:hAnsi="Montserrat" w:cstheme="minorBidi"/>
          <w:sz w:val="22"/>
          <w:szCs w:val="22"/>
          <w:lang w:val="es"/>
        </w:rPr>
        <w:t>a</w:t>
      </w:r>
      <w:r w:rsidRPr="00E60E24">
        <w:rPr>
          <w:rFonts w:ascii="Montserrat" w:hAnsi="Montserrat" w:cstheme="minorBidi"/>
          <w:sz w:val="22"/>
          <w:szCs w:val="22"/>
          <w:lang w:val="es"/>
        </w:rPr>
        <w:t xml:space="preserve">ño de cierre de </w:t>
      </w:r>
      <w:r w:rsidR="00243C2F" w:rsidRPr="00E60E24">
        <w:rPr>
          <w:rFonts w:ascii="Montserrat" w:hAnsi="Montserrat" w:cstheme="minorBidi"/>
          <w:sz w:val="22"/>
          <w:szCs w:val="22"/>
          <w:lang w:val="es"/>
        </w:rPr>
        <w:t xml:space="preserve">la </w:t>
      </w:r>
      <w:r w:rsidRPr="00E60E24">
        <w:rPr>
          <w:rFonts w:ascii="Montserrat" w:hAnsi="Montserrat" w:cstheme="minorBidi"/>
          <w:sz w:val="22"/>
          <w:szCs w:val="22"/>
          <w:lang w:val="es"/>
        </w:rPr>
        <w:t xml:space="preserve">muestra </w:t>
      </w:r>
      <w:r w:rsidR="00243C2F" w:rsidRPr="00E60E24">
        <w:rPr>
          <w:rFonts w:ascii="Montserrat" w:hAnsi="Montserrat" w:cstheme="minorBidi"/>
          <w:sz w:val="22"/>
          <w:szCs w:val="22"/>
          <w:lang w:val="es"/>
        </w:rPr>
        <w:t>(202</w:t>
      </w:r>
      <w:r w:rsidR="00566AD1" w:rsidRPr="00E60E24">
        <w:rPr>
          <w:rFonts w:ascii="Montserrat" w:hAnsi="Montserrat" w:cstheme="minorBidi"/>
          <w:sz w:val="22"/>
          <w:szCs w:val="22"/>
          <w:lang w:val="es"/>
        </w:rPr>
        <w:t>2</w:t>
      </w:r>
      <w:r w:rsidR="00243C2F" w:rsidRPr="00E60E24">
        <w:rPr>
          <w:rFonts w:ascii="Montserrat" w:hAnsi="Montserrat" w:cstheme="minorBidi"/>
          <w:sz w:val="22"/>
          <w:szCs w:val="22"/>
          <w:lang w:val="es"/>
        </w:rPr>
        <w:t>)</w:t>
      </w:r>
      <w:r w:rsidRPr="00E60E24">
        <w:rPr>
          <w:rFonts w:ascii="Montserrat" w:hAnsi="Montserrat" w:cstheme="minorBidi"/>
          <w:sz w:val="22"/>
          <w:szCs w:val="22"/>
          <w:lang w:val="es"/>
        </w:rPr>
        <w:t xml:space="preserve"> y 4 (cuatro) años previos al </w:t>
      </w:r>
      <w:r w:rsidR="005F0B8F" w:rsidRPr="00E60E24">
        <w:rPr>
          <w:rFonts w:ascii="Montserrat" w:hAnsi="Montserrat" w:cstheme="minorBidi"/>
          <w:sz w:val="22"/>
          <w:szCs w:val="22"/>
          <w:lang w:val="es"/>
        </w:rPr>
        <w:t>a</w:t>
      </w:r>
      <w:r w:rsidRPr="00E60E24">
        <w:rPr>
          <w:rFonts w:ascii="Montserrat" w:hAnsi="Montserrat" w:cstheme="minorBidi"/>
          <w:sz w:val="22"/>
          <w:szCs w:val="22"/>
          <w:lang w:val="es"/>
        </w:rPr>
        <w:t xml:space="preserve">ño de cierre de </w:t>
      </w:r>
      <w:r w:rsidR="00243C2F" w:rsidRPr="00E60E24">
        <w:rPr>
          <w:rFonts w:ascii="Montserrat" w:hAnsi="Montserrat" w:cstheme="minorBidi"/>
          <w:sz w:val="22"/>
          <w:szCs w:val="22"/>
          <w:lang w:val="es"/>
        </w:rPr>
        <w:t xml:space="preserve">la </w:t>
      </w:r>
      <w:r w:rsidRPr="00E60E24">
        <w:rPr>
          <w:rFonts w:ascii="Montserrat" w:hAnsi="Montserrat" w:cstheme="minorBidi"/>
          <w:sz w:val="22"/>
          <w:szCs w:val="22"/>
          <w:lang w:val="es"/>
        </w:rPr>
        <w:t>muestra</w:t>
      </w:r>
      <w:r w:rsidR="00243C2F" w:rsidRPr="00E60E24">
        <w:rPr>
          <w:rFonts w:ascii="Montserrat" w:hAnsi="Montserrat" w:cstheme="minorBidi"/>
          <w:sz w:val="22"/>
          <w:szCs w:val="22"/>
          <w:lang w:val="es"/>
        </w:rPr>
        <w:t xml:space="preserve"> (</w:t>
      </w:r>
      <w:r w:rsidR="005622C7" w:rsidRPr="00E60E24">
        <w:rPr>
          <w:rFonts w:ascii="Montserrat" w:hAnsi="Montserrat" w:cstheme="minorBidi"/>
          <w:sz w:val="22"/>
          <w:szCs w:val="22"/>
          <w:lang w:val="es"/>
        </w:rPr>
        <w:t>201</w:t>
      </w:r>
      <w:r w:rsidR="00566AD1" w:rsidRPr="00E60E24">
        <w:rPr>
          <w:rFonts w:ascii="Montserrat" w:hAnsi="Montserrat" w:cstheme="minorBidi"/>
          <w:sz w:val="22"/>
          <w:szCs w:val="22"/>
          <w:lang w:val="es"/>
        </w:rPr>
        <w:t>8</w:t>
      </w:r>
      <w:r w:rsidR="005622C7" w:rsidRPr="00E60E24">
        <w:rPr>
          <w:rFonts w:ascii="Montserrat" w:hAnsi="Montserrat" w:cstheme="minorBidi"/>
          <w:sz w:val="22"/>
          <w:szCs w:val="22"/>
          <w:lang w:val="es"/>
        </w:rPr>
        <w:t>-202</w:t>
      </w:r>
      <w:r w:rsidR="00566AD1" w:rsidRPr="00E60E24">
        <w:rPr>
          <w:rFonts w:ascii="Montserrat" w:hAnsi="Montserrat" w:cstheme="minorBidi"/>
          <w:sz w:val="22"/>
          <w:szCs w:val="22"/>
          <w:lang w:val="es"/>
        </w:rPr>
        <w:t>2</w:t>
      </w:r>
      <w:r w:rsidR="005622C7" w:rsidRPr="00E60E24">
        <w:rPr>
          <w:rFonts w:ascii="Montserrat" w:hAnsi="Montserrat" w:cstheme="minorBidi"/>
          <w:sz w:val="22"/>
          <w:szCs w:val="22"/>
          <w:lang w:val="es"/>
        </w:rPr>
        <w:t>)</w:t>
      </w:r>
      <w:r w:rsidRPr="00E60E24">
        <w:rPr>
          <w:rFonts w:ascii="Montserrat" w:hAnsi="Montserrat" w:cstheme="minorBidi"/>
          <w:sz w:val="22"/>
          <w:szCs w:val="22"/>
          <w:lang w:val="es"/>
        </w:rPr>
        <w:t>.</w:t>
      </w:r>
    </w:p>
    <w:p w14:paraId="4D32B35B" w14:textId="77777777" w:rsidR="00F62103" w:rsidRPr="00E60E24" w:rsidRDefault="00F62103" w:rsidP="00F62103">
      <w:pPr>
        <w:pStyle w:val="Prrafodelista"/>
        <w:numPr>
          <w:ilvl w:val="0"/>
          <w:numId w:val="8"/>
        </w:numPr>
        <w:spacing w:line="276" w:lineRule="auto"/>
        <w:ind w:left="567" w:hanging="567"/>
        <w:jc w:val="both"/>
        <w:rPr>
          <w:rFonts w:ascii="Montserrat" w:hAnsi="Montserrat" w:cstheme="minorBidi"/>
          <w:sz w:val="22"/>
          <w:szCs w:val="22"/>
          <w:lang w:val="es"/>
        </w:rPr>
      </w:pPr>
      <w:r w:rsidRPr="00E60E24">
        <w:rPr>
          <w:rFonts w:ascii="Montserrat" w:hAnsi="Montserrat" w:cstheme="minorBidi"/>
          <w:sz w:val="22"/>
          <w:szCs w:val="22"/>
          <w:lang w:val="es"/>
        </w:rPr>
        <w:t>Tener una razón deuda/capital en valor positivo durante el periodo muestra de 5 (cinco) años a partir de la información contable disponible.</w:t>
      </w:r>
    </w:p>
    <w:p w14:paraId="2D177A29" w14:textId="1AAADDCC" w:rsidR="00F62103" w:rsidRPr="00E60E24" w:rsidRDefault="00F62103" w:rsidP="00F62103">
      <w:pPr>
        <w:pStyle w:val="Prrafodelista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Montserrat" w:hAnsi="Montserrat" w:cstheme="minorBidi"/>
          <w:sz w:val="22"/>
          <w:szCs w:val="22"/>
          <w:lang w:val="es"/>
        </w:rPr>
      </w:pPr>
      <w:r w:rsidRPr="00E60E24">
        <w:rPr>
          <w:rFonts w:ascii="Montserrat" w:hAnsi="Montserrat" w:cstheme="minorBidi"/>
          <w:sz w:val="22"/>
          <w:szCs w:val="22"/>
          <w:lang w:val="es"/>
        </w:rPr>
        <w:t xml:space="preserve">Empresas con actividades de </w:t>
      </w:r>
      <w:proofErr w:type="spellStart"/>
      <w:r w:rsidRPr="00E60E24">
        <w:rPr>
          <w:rFonts w:ascii="Montserrat" w:hAnsi="Montserrat" w:cstheme="minorBidi"/>
          <w:i/>
          <w:iCs/>
          <w:sz w:val="22"/>
          <w:szCs w:val="22"/>
          <w:lang w:val="es"/>
        </w:rPr>
        <w:t>midstream</w:t>
      </w:r>
      <w:proofErr w:type="spellEnd"/>
      <w:r w:rsidRPr="00E60E24">
        <w:rPr>
          <w:rFonts w:ascii="Montserrat" w:hAnsi="Montserrat" w:cstheme="minorBidi"/>
          <w:sz w:val="22"/>
          <w:szCs w:val="22"/>
          <w:lang w:val="es"/>
        </w:rPr>
        <w:t xml:space="preserve"> que operan en Estados Unidos de América (EUA) por considerarse que sus mercados de petrolíferos y </w:t>
      </w:r>
      <w:r w:rsidRPr="00E60E24">
        <w:rPr>
          <w:rFonts w:ascii="Montserrat" w:hAnsi="Montserrat" w:cstheme="minorBidi"/>
          <w:sz w:val="22"/>
          <w:szCs w:val="22"/>
          <w:lang w:val="es"/>
        </w:rPr>
        <w:lastRenderedPageBreak/>
        <w:t>financiero son más desarrollados, y por contar con información necesaria para la aplicación del modelo.</w:t>
      </w:r>
      <w:r w:rsidR="00065F89" w:rsidRPr="00E60E24">
        <w:rPr>
          <w:rFonts w:ascii="Montserrat" w:hAnsi="Montserrat" w:cstheme="minorBidi"/>
          <w:sz w:val="22"/>
          <w:szCs w:val="22"/>
          <w:lang w:val="es"/>
        </w:rPr>
        <w:t xml:space="preserve"> </w:t>
      </w:r>
    </w:p>
    <w:p w14:paraId="4B726523" w14:textId="77777777" w:rsidR="006C061C" w:rsidRPr="00E60E24" w:rsidRDefault="006C061C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</w:p>
    <w:p w14:paraId="017B3B91" w14:textId="5168E224" w:rsidR="00777391" w:rsidRPr="00E60E24" w:rsidRDefault="00F62103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De esta manera, para o</w:t>
      </w:r>
      <w:r w:rsidR="004062B8" w:rsidRPr="00E60E24">
        <w:rPr>
          <w:rFonts w:ascii="Montserrat" w:hAnsi="Montserrat"/>
          <w:sz w:val="22"/>
          <w:szCs w:val="22"/>
        </w:rPr>
        <w:t xml:space="preserve">btener </w:t>
      </w:r>
      <w:r w:rsidR="006142D0" w:rsidRPr="00E60E24">
        <w:rPr>
          <w:rFonts w:ascii="Montserrat" w:hAnsi="Montserrat"/>
          <w:sz w:val="22"/>
          <w:szCs w:val="22"/>
        </w:rPr>
        <w:t xml:space="preserve">la </w:t>
      </w:r>
      <w:r w:rsidR="004062B8" w:rsidRPr="00E60E24">
        <w:rPr>
          <w:rFonts w:ascii="Montserrat" w:hAnsi="Montserrat"/>
          <w:sz w:val="22"/>
          <w:szCs w:val="22"/>
        </w:rPr>
        <w:t xml:space="preserve">tasa de retorno del </w:t>
      </w:r>
      <w:r w:rsidR="00644681" w:rsidRPr="00E60E24">
        <w:rPr>
          <w:rFonts w:ascii="Montserrat" w:hAnsi="Montserrat"/>
          <w:sz w:val="22"/>
          <w:szCs w:val="22"/>
        </w:rPr>
        <w:t xml:space="preserve">mercado de referencia, se utilizaron </w:t>
      </w:r>
      <w:r w:rsidRPr="00E60E24">
        <w:rPr>
          <w:rFonts w:ascii="Montserrat" w:hAnsi="Montserrat"/>
          <w:sz w:val="22"/>
          <w:szCs w:val="22"/>
        </w:rPr>
        <w:t>las compañías</w:t>
      </w:r>
      <w:r w:rsidR="000D2104" w:rsidRPr="00E60E24">
        <w:rPr>
          <w:rFonts w:ascii="Montserrat" w:hAnsi="Montserrat"/>
          <w:sz w:val="22"/>
          <w:szCs w:val="22"/>
        </w:rPr>
        <w:t xml:space="preserve"> de manera enunciativa</w:t>
      </w:r>
      <w:r w:rsidR="001B1F29" w:rsidRPr="00E60E24">
        <w:rPr>
          <w:rFonts w:ascii="Montserrat" w:hAnsi="Montserrat"/>
          <w:sz w:val="22"/>
          <w:szCs w:val="22"/>
        </w:rPr>
        <w:t xml:space="preserve"> siguientes</w:t>
      </w:r>
      <w:r w:rsidR="000D2104" w:rsidRPr="00E60E24">
        <w:rPr>
          <w:rFonts w:ascii="Montserrat" w:hAnsi="Montserrat"/>
          <w:sz w:val="22"/>
          <w:szCs w:val="22"/>
        </w:rPr>
        <w:t>:</w:t>
      </w:r>
    </w:p>
    <w:p w14:paraId="6FA8EBE9" w14:textId="502F402A" w:rsidR="00777391" w:rsidRPr="00E60E24" w:rsidRDefault="00247145" w:rsidP="006E294A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  <w:lang w:val="en-US"/>
        </w:rPr>
      </w:pPr>
      <w:r w:rsidRPr="00E60E24">
        <w:rPr>
          <w:rFonts w:ascii="Montserrat" w:hAnsi="Montserrat"/>
          <w:sz w:val="22"/>
          <w:szCs w:val="22"/>
          <w:lang w:val="en-US"/>
        </w:rPr>
        <w:t>Exxon Mobile Corporation</w:t>
      </w:r>
      <w:r w:rsidR="00F55898" w:rsidRPr="00E60E24">
        <w:rPr>
          <w:rFonts w:ascii="Montserrat" w:hAnsi="Montserrat"/>
          <w:sz w:val="22"/>
          <w:szCs w:val="22"/>
          <w:lang w:val="en-US"/>
        </w:rPr>
        <w:t xml:space="preserve"> (XOM.N)</w:t>
      </w:r>
    </w:p>
    <w:p w14:paraId="3E6F395D" w14:textId="0AA70123" w:rsidR="00777391" w:rsidRPr="00E60E24" w:rsidRDefault="00247145" w:rsidP="006E294A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</w:rPr>
      </w:pPr>
      <w:proofErr w:type="spellStart"/>
      <w:r w:rsidRPr="00E60E24">
        <w:rPr>
          <w:rFonts w:ascii="Montserrat" w:hAnsi="Montserrat"/>
          <w:sz w:val="22"/>
          <w:szCs w:val="22"/>
        </w:rPr>
        <w:t>Chevron</w:t>
      </w:r>
      <w:proofErr w:type="spellEnd"/>
      <w:r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Pr="00E60E24">
        <w:rPr>
          <w:rFonts w:ascii="Montserrat" w:hAnsi="Montserrat"/>
          <w:sz w:val="22"/>
          <w:szCs w:val="22"/>
        </w:rPr>
        <w:t>Corporation</w:t>
      </w:r>
      <w:proofErr w:type="spellEnd"/>
      <w:r w:rsidR="00F55898" w:rsidRPr="00E60E24">
        <w:rPr>
          <w:rFonts w:ascii="Montserrat" w:hAnsi="Montserrat"/>
          <w:sz w:val="22"/>
          <w:szCs w:val="22"/>
        </w:rPr>
        <w:t xml:space="preserve"> (CVX.N)</w:t>
      </w:r>
    </w:p>
    <w:p w14:paraId="35C08B11" w14:textId="77777777" w:rsidR="00F55898" w:rsidRPr="00E60E24" w:rsidRDefault="00247145" w:rsidP="00F55898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Valero Energy </w:t>
      </w:r>
      <w:proofErr w:type="spellStart"/>
      <w:r w:rsidRPr="00E60E24">
        <w:rPr>
          <w:rFonts w:ascii="Montserrat" w:hAnsi="Montserrat"/>
          <w:sz w:val="22"/>
          <w:szCs w:val="22"/>
        </w:rPr>
        <w:t>Corporation</w:t>
      </w:r>
      <w:proofErr w:type="spellEnd"/>
      <w:r w:rsidR="00F55898" w:rsidRPr="00E60E24">
        <w:rPr>
          <w:rFonts w:ascii="Montserrat" w:hAnsi="Montserrat"/>
          <w:sz w:val="22"/>
          <w:szCs w:val="22"/>
        </w:rPr>
        <w:t xml:space="preserve"> (VLO.N)</w:t>
      </w:r>
    </w:p>
    <w:p w14:paraId="211B3716" w14:textId="55303726" w:rsidR="00F55898" w:rsidRPr="00E60E24" w:rsidRDefault="00247145" w:rsidP="00F55898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  <w:lang w:val="en-US"/>
        </w:rPr>
      </w:pPr>
      <w:r w:rsidRPr="00E60E24">
        <w:rPr>
          <w:rFonts w:ascii="Montserrat" w:hAnsi="Montserrat"/>
          <w:sz w:val="22"/>
          <w:szCs w:val="22"/>
          <w:lang w:val="en-US"/>
        </w:rPr>
        <w:t>Marathon Petroleum Corporation</w:t>
      </w:r>
      <w:r w:rsidR="00F55898" w:rsidRPr="00E60E24">
        <w:rPr>
          <w:rFonts w:ascii="Montserrat" w:hAnsi="Montserrat"/>
          <w:sz w:val="22"/>
          <w:szCs w:val="22"/>
          <w:lang w:val="en-US"/>
        </w:rPr>
        <w:t xml:space="preserve"> (MPC.N)</w:t>
      </w:r>
    </w:p>
    <w:p w14:paraId="78F36548" w14:textId="02912B4C" w:rsidR="00777391" w:rsidRPr="00E60E24" w:rsidRDefault="00C71CC8" w:rsidP="006E294A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  <w:lang w:val="en-US"/>
        </w:rPr>
      </w:pPr>
      <w:r w:rsidRPr="00E60E24">
        <w:rPr>
          <w:rFonts w:ascii="Montserrat" w:hAnsi="Montserrat"/>
          <w:sz w:val="22"/>
          <w:szCs w:val="22"/>
          <w:lang w:val="en-US"/>
        </w:rPr>
        <w:t>HF Sinclair Corporatio</w:t>
      </w:r>
      <w:r w:rsidR="00A2086B" w:rsidRPr="00E60E24">
        <w:rPr>
          <w:rFonts w:ascii="Montserrat" w:hAnsi="Montserrat"/>
          <w:sz w:val="22"/>
          <w:szCs w:val="22"/>
          <w:lang w:val="en-US"/>
        </w:rPr>
        <w:t>n</w:t>
      </w:r>
      <w:r w:rsidR="00F55898" w:rsidRPr="00E60E24">
        <w:rPr>
          <w:rFonts w:ascii="Montserrat" w:hAnsi="Montserrat"/>
          <w:sz w:val="22"/>
          <w:szCs w:val="22"/>
          <w:lang w:val="en-US"/>
        </w:rPr>
        <w:t xml:space="preserve"> (DINO)</w:t>
      </w:r>
    </w:p>
    <w:p w14:paraId="2C81621C" w14:textId="001BE69D" w:rsidR="00777391" w:rsidRPr="00E60E24" w:rsidRDefault="00247145" w:rsidP="006E294A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PBF Energy Inc.</w:t>
      </w:r>
      <w:r w:rsidR="00F55898" w:rsidRPr="00E60E24">
        <w:rPr>
          <w:rFonts w:ascii="Montserrat" w:hAnsi="Montserrat"/>
          <w:sz w:val="22"/>
          <w:szCs w:val="22"/>
        </w:rPr>
        <w:t xml:space="preserve"> (PBF)</w:t>
      </w:r>
    </w:p>
    <w:p w14:paraId="7A9D95D3" w14:textId="698190B2" w:rsidR="00777391" w:rsidRPr="00E60E24" w:rsidRDefault="00247145" w:rsidP="006E294A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CVR Energy, </w:t>
      </w:r>
      <w:proofErr w:type="spellStart"/>
      <w:r w:rsidRPr="00E60E24">
        <w:rPr>
          <w:rFonts w:ascii="Montserrat" w:hAnsi="Montserrat"/>
          <w:sz w:val="22"/>
          <w:szCs w:val="22"/>
        </w:rPr>
        <w:t>Inc</w:t>
      </w:r>
      <w:proofErr w:type="spellEnd"/>
      <w:r w:rsidR="00F55898" w:rsidRPr="00E60E24">
        <w:rPr>
          <w:rFonts w:ascii="Montserrat" w:hAnsi="Montserrat"/>
          <w:sz w:val="22"/>
          <w:szCs w:val="22"/>
        </w:rPr>
        <w:t xml:space="preserve"> (CVI)</w:t>
      </w:r>
    </w:p>
    <w:p w14:paraId="0A89AEB3" w14:textId="2F36EF28" w:rsidR="00777391" w:rsidRPr="00E60E24" w:rsidRDefault="00247145" w:rsidP="006E294A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  <w:lang w:val="en-US"/>
        </w:rPr>
      </w:pPr>
      <w:proofErr w:type="spellStart"/>
      <w:r w:rsidRPr="00E60E24">
        <w:rPr>
          <w:rFonts w:ascii="Montserrat" w:hAnsi="Montserrat"/>
          <w:sz w:val="22"/>
          <w:szCs w:val="22"/>
          <w:lang w:val="en-US"/>
        </w:rPr>
        <w:t>Delek</w:t>
      </w:r>
      <w:proofErr w:type="spellEnd"/>
      <w:r w:rsidRPr="00E60E24">
        <w:rPr>
          <w:rFonts w:ascii="Montserrat" w:hAnsi="Montserrat"/>
          <w:sz w:val="22"/>
          <w:szCs w:val="22"/>
          <w:lang w:val="en-US"/>
        </w:rPr>
        <w:t xml:space="preserve"> US </w:t>
      </w:r>
      <w:r w:rsidR="00AD3AB3" w:rsidRPr="00E60E24">
        <w:rPr>
          <w:rFonts w:ascii="Montserrat" w:hAnsi="Montserrat"/>
          <w:sz w:val="22"/>
          <w:szCs w:val="22"/>
          <w:lang w:val="en-US"/>
        </w:rPr>
        <w:t>Energy</w:t>
      </w:r>
      <w:r w:rsidRPr="00E60E24">
        <w:rPr>
          <w:rFonts w:ascii="Montserrat" w:hAnsi="Montserrat"/>
          <w:sz w:val="22"/>
          <w:szCs w:val="22"/>
          <w:lang w:val="en-US"/>
        </w:rPr>
        <w:t xml:space="preserve"> Inc</w:t>
      </w:r>
      <w:r w:rsidR="00AD3AB3" w:rsidRPr="00E60E24">
        <w:rPr>
          <w:rFonts w:ascii="Montserrat" w:hAnsi="Montserrat"/>
          <w:sz w:val="22"/>
          <w:szCs w:val="22"/>
          <w:lang w:val="en-US"/>
        </w:rPr>
        <w:t xml:space="preserve"> (DK)</w:t>
      </w:r>
    </w:p>
    <w:p w14:paraId="5EFFC3FF" w14:textId="65072324" w:rsidR="00777391" w:rsidRPr="00E60E24" w:rsidRDefault="00247145" w:rsidP="006E294A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</w:rPr>
      </w:pPr>
      <w:proofErr w:type="spellStart"/>
      <w:r w:rsidRPr="00E60E24">
        <w:rPr>
          <w:rFonts w:ascii="Montserrat" w:hAnsi="Montserrat"/>
          <w:sz w:val="22"/>
          <w:szCs w:val="22"/>
        </w:rPr>
        <w:t>Crestwood</w:t>
      </w:r>
      <w:proofErr w:type="spellEnd"/>
      <w:r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Pr="00E60E24">
        <w:rPr>
          <w:rFonts w:ascii="Montserrat" w:hAnsi="Montserrat"/>
          <w:sz w:val="22"/>
          <w:szCs w:val="22"/>
        </w:rPr>
        <w:t>Equity</w:t>
      </w:r>
      <w:proofErr w:type="spellEnd"/>
      <w:r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Pr="00E60E24">
        <w:rPr>
          <w:rFonts w:ascii="Montserrat" w:hAnsi="Montserrat"/>
          <w:sz w:val="22"/>
          <w:szCs w:val="22"/>
        </w:rPr>
        <w:t>Partners</w:t>
      </w:r>
      <w:proofErr w:type="spellEnd"/>
      <w:r w:rsidR="00AD3AB3" w:rsidRPr="00E60E24">
        <w:rPr>
          <w:rFonts w:ascii="Montserrat" w:hAnsi="Montserrat"/>
          <w:sz w:val="22"/>
          <w:szCs w:val="22"/>
        </w:rPr>
        <w:t xml:space="preserve"> (CEQP)</w:t>
      </w:r>
    </w:p>
    <w:p w14:paraId="150EE59B" w14:textId="249E7F8C" w:rsidR="00777391" w:rsidRPr="00E60E24" w:rsidRDefault="00247145" w:rsidP="00AD3AB3">
      <w:pPr>
        <w:numPr>
          <w:ilvl w:val="0"/>
          <w:numId w:val="3"/>
        </w:numPr>
        <w:jc w:val="both"/>
        <w:rPr>
          <w:rFonts w:ascii="Montserrat" w:hAnsi="Montserrat"/>
          <w:sz w:val="22"/>
          <w:szCs w:val="22"/>
          <w:lang w:val="en-US"/>
        </w:rPr>
      </w:pPr>
      <w:r w:rsidRPr="00E60E24">
        <w:rPr>
          <w:rFonts w:ascii="Montserrat" w:hAnsi="Montserrat"/>
          <w:sz w:val="22"/>
          <w:szCs w:val="22"/>
          <w:lang w:val="en-US"/>
        </w:rPr>
        <w:t>PAR Pacific Holdings Inc</w:t>
      </w:r>
      <w:r w:rsidR="00AD3AB3" w:rsidRPr="00E60E24">
        <w:rPr>
          <w:rFonts w:ascii="Montserrat" w:hAnsi="Montserrat"/>
          <w:sz w:val="22"/>
          <w:szCs w:val="22"/>
          <w:lang w:val="en-US"/>
        </w:rPr>
        <w:t xml:space="preserve"> (PARR)</w:t>
      </w:r>
    </w:p>
    <w:p w14:paraId="2792026B" w14:textId="2EA7D200" w:rsidR="007419A9" w:rsidRPr="00E60E24" w:rsidRDefault="008604FF" w:rsidP="00A2086B">
      <w:pPr>
        <w:pStyle w:val="FirstParagraph"/>
        <w:jc w:val="both"/>
        <w:rPr>
          <w:rFonts w:ascii="Montserrat" w:hAnsi="Montserrat"/>
          <w:sz w:val="22"/>
          <w:szCs w:val="22"/>
        </w:rPr>
      </w:pPr>
      <w:bookmarkStart w:id="4" w:name="X26750b56ffd3b899afd70d90af05014403c16d8"/>
      <w:r w:rsidRPr="00E60E24">
        <w:rPr>
          <w:rFonts w:ascii="Montserrat" w:hAnsi="Montserrat"/>
          <w:sz w:val="22"/>
          <w:szCs w:val="22"/>
        </w:rPr>
        <w:t>Asimismo</w:t>
      </w:r>
      <w:r w:rsidR="004062B8" w:rsidRPr="00E60E24">
        <w:rPr>
          <w:rFonts w:ascii="Montserrat" w:hAnsi="Montserrat"/>
          <w:sz w:val="22"/>
          <w:szCs w:val="22"/>
        </w:rPr>
        <w:t xml:space="preserve">, se utilizaron los </w:t>
      </w:r>
      <w:r w:rsidR="001504A6" w:rsidRPr="00E60E24">
        <w:rPr>
          <w:rFonts w:ascii="Montserrat" w:hAnsi="Montserrat"/>
          <w:sz w:val="22"/>
          <w:szCs w:val="22"/>
        </w:rPr>
        <w:t>b</w:t>
      </w:r>
      <w:r w:rsidR="004062B8" w:rsidRPr="00E60E24">
        <w:rPr>
          <w:rFonts w:ascii="Montserrat" w:hAnsi="Montserrat"/>
          <w:sz w:val="22"/>
          <w:szCs w:val="22"/>
        </w:rPr>
        <w:t xml:space="preserve">alances </w:t>
      </w:r>
      <w:r w:rsidR="001504A6" w:rsidRPr="00E60E24">
        <w:rPr>
          <w:rFonts w:ascii="Montserrat" w:hAnsi="Montserrat"/>
          <w:sz w:val="22"/>
          <w:szCs w:val="22"/>
        </w:rPr>
        <w:t>f</w:t>
      </w:r>
      <w:r w:rsidR="004062B8" w:rsidRPr="00E60E24">
        <w:rPr>
          <w:rFonts w:ascii="Montserrat" w:hAnsi="Montserrat"/>
          <w:sz w:val="22"/>
          <w:szCs w:val="22"/>
        </w:rPr>
        <w:t xml:space="preserve">inancieros y </w:t>
      </w:r>
      <w:r w:rsidR="001504A6" w:rsidRPr="00E60E24">
        <w:rPr>
          <w:rFonts w:ascii="Montserrat" w:hAnsi="Montserrat"/>
          <w:sz w:val="22"/>
          <w:szCs w:val="22"/>
        </w:rPr>
        <w:t>e</w:t>
      </w:r>
      <w:r w:rsidR="004062B8" w:rsidRPr="00E60E24">
        <w:rPr>
          <w:rFonts w:ascii="Montserrat" w:hAnsi="Montserrat"/>
          <w:sz w:val="22"/>
          <w:szCs w:val="22"/>
        </w:rPr>
        <w:t xml:space="preserve">stados de </w:t>
      </w:r>
      <w:r w:rsidR="001504A6" w:rsidRPr="00E60E24">
        <w:rPr>
          <w:rFonts w:ascii="Montserrat" w:hAnsi="Montserrat"/>
          <w:sz w:val="22"/>
          <w:szCs w:val="22"/>
        </w:rPr>
        <w:t>r</w:t>
      </w:r>
      <w:r w:rsidR="004062B8" w:rsidRPr="00E60E24">
        <w:rPr>
          <w:rFonts w:ascii="Montserrat" w:hAnsi="Montserrat"/>
          <w:sz w:val="22"/>
          <w:szCs w:val="22"/>
        </w:rPr>
        <w:t xml:space="preserve">esultados de </w:t>
      </w:r>
      <w:r w:rsidR="00621F65" w:rsidRPr="00E60E24">
        <w:rPr>
          <w:rFonts w:ascii="Montserrat" w:hAnsi="Montserrat"/>
          <w:sz w:val="22"/>
          <w:szCs w:val="22"/>
        </w:rPr>
        <w:t>las 1</w:t>
      </w:r>
      <w:r w:rsidR="004062B8" w:rsidRPr="00E60E24">
        <w:rPr>
          <w:rFonts w:ascii="Montserrat" w:hAnsi="Montserrat"/>
          <w:sz w:val="22"/>
        </w:rPr>
        <w:t xml:space="preserve">0 empresas </w:t>
      </w:r>
      <w:r w:rsidR="006142D0" w:rsidRPr="00E60E24">
        <w:rPr>
          <w:rFonts w:ascii="Montserrat" w:hAnsi="Montserrat"/>
          <w:sz w:val="22"/>
        </w:rPr>
        <w:t xml:space="preserve">representativas </w:t>
      </w:r>
      <w:r w:rsidR="004062B8" w:rsidRPr="00E60E24">
        <w:rPr>
          <w:rFonts w:ascii="Montserrat" w:hAnsi="Montserrat"/>
          <w:sz w:val="22"/>
        </w:rPr>
        <w:t>del sector energético</w:t>
      </w:r>
      <w:r w:rsidR="00175E86" w:rsidRPr="00E60E24">
        <w:rPr>
          <w:rFonts w:ascii="Montserrat" w:hAnsi="Montserrat"/>
          <w:sz w:val="22"/>
          <w:szCs w:val="22"/>
        </w:rPr>
        <w:t>,</w:t>
      </w:r>
      <w:r w:rsidR="00621F65" w:rsidRPr="00E60E24">
        <w:rPr>
          <w:rFonts w:ascii="Montserrat" w:hAnsi="Montserrat"/>
          <w:sz w:val="22"/>
          <w:szCs w:val="22"/>
        </w:rPr>
        <w:t xml:space="preserve"> que se </w:t>
      </w:r>
      <w:r w:rsidR="0022766E" w:rsidRPr="00E60E24">
        <w:rPr>
          <w:rFonts w:ascii="Montserrat" w:hAnsi="Montserrat"/>
          <w:sz w:val="22"/>
          <w:szCs w:val="22"/>
        </w:rPr>
        <w:t>enumeraron en el párrafo anterior</w:t>
      </w:r>
      <w:r w:rsidR="004062B8" w:rsidRPr="00E60E24">
        <w:rPr>
          <w:rFonts w:ascii="Montserrat" w:hAnsi="Montserrat"/>
          <w:sz w:val="22"/>
          <w:szCs w:val="22"/>
        </w:rPr>
        <w:t xml:space="preserve">. A partir de ello, se obtuvieron las razones </w:t>
      </w:r>
      <w:r w:rsidR="006331CD" w:rsidRPr="00E60E24">
        <w:rPr>
          <w:rFonts w:ascii="Montserrat" w:hAnsi="Montserrat"/>
          <w:sz w:val="22"/>
          <w:szCs w:val="22"/>
        </w:rPr>
        <w:t>d</w:t>
      </w:r>
      <w:r w:rsidR="004062B8" w:rsidRPr="00E60E24">
        <w:rPr>
          <w:rFonts w:ascii="Montserrat" w:hAnsi="Montserrat"/>
          <w:sz w:val="22"/>
          <w:szCs w:val="22"/>
        </w:rPr>
        <w:t>euda/</w:t>
      </w:r>
      <w:r w:rsidR="006331CD" w:rsidRPr="00E60E24">
        <w:rPr>
          <w:rFonts w:ascii="Montserrat" w:hAnsi="Montserrat"/>
          <w:sz w:val="22"/>
          <w:szCs w:val="22"/>
        </w:rPr>
        <w:t>c</w:t>
      </w:r>
      <w:r w:rsidR="004062B8" w:rsidRPr="00E60E24">
        <w:rPr>
          <w:rFonts w:ascii="Montserrat" w:hAnsi="Montserrat"/>
          <w:sz w:val="22"/>
          <w:szCs w:val="22"/>
        </w:rPr>
        <w:t xml:space="preserve">apital y la </w:t>
      </w:r>
      <w:r w:rsidR="006331CD" w:rsidRPr="00E60E24">
        <w:rPr>
          <w:rFonts w:ascii="Montserrat" w:hAnsi="Montserrat"/>
          <w:sz w:val="22"/>
          <w:szCs w:val="22"/>
        </w:rPr>
        <w:t>t</w:t>
      </w:r>
      <w:r w:rsidR="004062B8" w:rsidRPr="00E60E24">
        <w:rPr>
          <w:rFonts w:ascii="Montserrat" w:hAnsi="Montserrat"/>
          <w:sz w:val="22"/>
          <w:szCs w:val="22"/>
        </w:rPr>
        <w:t xml:space="preserve">asa </w:t>
      </w:r>
      <w:r w:rsidR="006331CD" w:rsidRPr="00E60E24">
        <w:rPr>
          <w:rFonts w:ascii="Montserrat" w:hAnsi="Montserrat"/>
          <w:sz w:val="22"/>
          <w:szCs w:val="22"/>
        </w:rPr>
        <w:t>e</w:t>
      </w:r>
      <w:r w:rsidR="004062B8" w:rsidRPr="00E60E24">
        <w:rPr>
          <w:rFonts w:ascii="Montserrat" w:hAnsi="Montserrat"/>
          <w:sz w:val="22"/>
          <w:szCs w:val="22"/>
        </w:rPr>
        <w:t xml:space="preserve">fectiva de </w:t>
      </w:r>
      <w:r w:rsidR="006331CD" w:rsidRPr="00E60E24">
        <w:rPr>
          <w:rFonts w:ascii="Montserrat" w:hAnsi="Montserrat"/>
          <w:sz w:val="22"/>
          <w:szCs w:val="22"/>
        </w:rPr>
        <w:t>i</w:t>
      </w:r>
      <w:r w:rsidR="004062B8" w:rsidRPr="00E60E24">
        <w:rPr>
          <w:rFonts w:ascii="Montserrat" w:hAnsi="Montserrat"/>
          <w:sz w:val="22"/>
          <w:szCs w:val="22"/>
        </w:rPr>
        <w:t xml:space="preserve">mpuestos de cada una de las </w:t>
      </w:r>
      <w:r w:rsidR="00E7102B" w:rsidRPr="00E60E24">
        <w:rPr>
          <w:rFonts w:ascii="Montserrat" w:hAnsi="Montserrat"/>
          <w:sz w:val="22"/>
          <w:szCs w:val="22"/>
        </w:rPr>
        <w:t>compañías</w:t>
      </w:r>
      <w:r w:rsidR="00443C8D" w:rsidRPr="00E60E24">
        <w:rPr>
          <w:rFonts w:ascii="Montserrat" w:hAnsi="Montserrat"/>
          <w:sz w:val="22"/>
          <w:szCs w:val="22"/>
        </w:rPr>
        <w:t>.</w:t>
      </w:r>
    </w:p>
    <w:p w14:paraId="50F647E4" w14:textId="3A8A4BBE" w:rsidR="00644681" w:rsidRPr="00E60E24" w:rsidRDefault="005F3734" w:rsidP="00F54BD4">
      <w:pPr>
        <w:pStyle w:val="Textoindependiente"/>
        <w:spacing w:after="0"/>
        <w:ind w:left="1440" w:firstLine="720"/>
        <w:rPr>
          <w:i/>
          <w:iCs/>
          <w:sz w:val="16"/>
          <w:szCs w:val="16"/>
        </w:rPr>
      </w:pPr>
      <w:r w:rsidRPr="00E60E24">
        <w:rPr>
          <w:rFonts w:ascii="Montserrat" w:hAnsi="Montserrat" w:cs="Arial"/>
          <w:i/>
          <w:iCs/>
          <w:sz w:val="16"/>
          <w:szCs w:val="16"/>
        </w:rPr>
        <w:t xml:space="preserve">Tabla 1. </w:t>
      </w:r>
      <w:r w:rsidR="00571567" w:rsidRPr="00E60E24">
        <w:rPr>
          <w:rFonts w:ascii="Montserrat" w:hAnsi="Montserrat" w:cs="Arial"/>
          <w:i/>
          <w:iCs/>
          <w:sz w:val="16"/>
          <w:szCs w:val="16"/>
        </w:rPr>
        <w:t>Razón Deuda/Capital y tasa impositiva eficiente</w:t>
      </w:r>
    </w:p>
    <w:tbl>
      <w:tblPr>
        <w:tblStyle w:val="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956"/>
        <w:gridCol w:w="1400"/>
        <w:gridCol w:w="2563"/>
      </w:tblGrid>
      <w:tr w:rsidR="0074258C" w:rsidRPr="00E60E24" w14:paraId="1AC22774" w14:textId="77777777" w:rsidTr="00F54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14:paraId="071CD35D" w14:textId="3E8BBE22" w:rsidR="00777391" w:rsidRPr="00E60E24" w:rsidRDefault="008E0E7F" w:rsidP="006E294A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bookmarkStart w:id="5" w:name="X897dccf9a704c0f260ff541594c2854fc05eb7f"/>
            <w:bookmarkEnd w:id="4"/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Empresa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14:paraId="77E558B8" w14:textId="77301D64" w:rsidR="00777391" w:rsidRPr="00E60E24" w:rsidRDefault="008E0E7F" w:rsidP="006E294A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Deuda/</w:t>
            </w:r>
            <w:r w:rsidR="006331CD" w:rsidRPr="00E60E24">
              <w:rPr>
                <w:rFonts w:ascii="Montserrat" w:hAnsi="Montserrat"/>
                <w:b/>
                <w:bCs/>
                <w:sz w:val="16"/>
                <w:szCs w:val="16"/>
              </w:rPr>
              <w:t>c</w:t>
            </w: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apital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14:paraId="3489850E" w14:textId="33A591E1" w:rsidR="00777391" w:rsidRPr="00E60E24" w:rsidRDefault="008E0E7F" w:rsidP="006E294A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Tasa eficiente de impuestos</w:t>
            </w:r>
          </w:p>
        </w:tc>
      </w:tr>
      <w:tr w:rsidR="0074258C" w:rsidRPr="00E60E24" w14:paraId="77A26DF7" w14:textId="77777777" w:rsidTr="00F54BD4">
        <w:trPr>
          <w:jc w:val="center"/>
        </w:trPr>
        <w:tc>
          <w:tcPr>
            <w:tcW w:w="0" w:type="auto"/>
          </w:tcPr>
          <w:p w14:paraId="25705DEA" w14:textId="7DA6F9CC" w:rsidR="00777391" w:rsidRPr="00E60E24" w:rsidRDefault="00AD3AB3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  <w:lang w:val="en-US"/>
              </w:rPr>
              <w:t>XOM.N</w:t>
            </w:r>
          </w:p>
        </w:tc>
        <w:tc>
          <w:tcPr>
            <w:tcW w:w="0" w:type="auto"/>
          </w:tcPr>
          <w:p w14:paraId="62CFAC81" w14:textId="0BE48BE7" w:rsidR="00777391" w:rsidRPr="00E60E24" w:rsidRDefault="00350087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0.</w:t>
            </w:r>
            <w:r w:rsidR="00EA2769" w:rsidRPr="00E60E24">
              <w:rPr>
                <w:rFonts w:ascii="Montserrat" w:hAnsi="Montserrat"/>
                <w:sz w:val="16"/>
                <w:szCs w:val="16"/>
              </w:rPr>
              <w:t>9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14:paraId="5419AA2D" w14:textId="59D7D916" w:rsidR="00777391" w:rsidRPr="00E60E24" w:rsidRDefault="004062B8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6.36</w:t>
            </w:r>
            <w:r w:rsidR="007419A9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4258C" w:rsidRPr="00E60E24" w14:paraId="2E942D15" w14:textId="77777777" w:rsidTr="00F54BD4">
        <w:trPr>
          <w:jc w:val="center"/>
        </w:trPr>
        <w:tc>
          <w:tcPr>
            <w:tcW w:w="0" w:type="auto"/>
          </w:tcPr>
          <w:p w14:paraId="2D6192F8" w14:textId="7F87435F" w:rsidR="00777391" w:rsidRPr="00E60E24" w:rsidRDefault="00AD3AB3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CVX.N</w:t>
            </w:r>
          </w:p>
        </w:tc>
        <w:tc>
          <w:tcPr>
            <w:tcW w:w="0" w:type="auto"/>
          </w:tcPr>
          <w:p w14:paraId="134FFFD9" w14:textId="48AFF55C" w:rsidR="00777391" w:rsidRPr="00E60E24" w:rsidRDefault="004062B8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0.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69</w:t>
            </w:r>
          </w:p>
        </w:tc>
        <w:tc>
          <w:tcPr>
            <w:tcW w:w="0" w:type="auto"/>
          </w:tcPr>
          <w:p w14:paraId="7F16F3CE" w14:textId="30068D18" w:rsidR="00777391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31.53</w:t>
            </w:r>
            <w:r w:rsidR="007419A9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4258C" w:rsidRPr="00E60E24" w14:paraId="6B30C7BF" w14:textId="77777777" w:rsidTr="00F54BD4">
        <w:trPr>
          <w:jc w:val="center"/>
        </w:trPr>
        <w:tc>
          <w:tcPr>
            <w:tcW w:w="0" w:type="auto"/>
          </w:tcPr>
          <w:p w14:paraId="0592533A" w14:textId="05990AD6" w:rsidR="00777391" w:rsidRPr="00E60E24" w:rsidRDefault="00AD3AB3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VLO.N</w:t>
            </w:r>
          </w:p>
        </w:tc>
        <w:tc>
          <w:tcPr>
            <w:tcW w:w="0" w:type="auto"/>
          </w:tcPr>
          <w:p w14:paraId="598F8E51" w14:textId="065FAAF6" w:rsidR="00777391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0.25</w:t>
            </w:r>
          </w:p>
        </w:tc>
        <w:tc>
          <w:tcPr>
            <w:tcW w:w="0" w:type="auto"/>
          </w:tcPr>
          <w:p w14:paraId="7353A6BE" w14:textId="51188406" w:rsidR="00777391" w:rsidRPr="00E60E24" w:rsidRDefault="004062B8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5.03</w:t>
            </w:r>
            <w:r w:rsidR="007419A9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4258C" w:rsidRPr="00E60E24" w14:paraId="5AD438ED" w14:textId="77777777" w:rsidTr="00F54BD4">
        <w:trPr>
          <w:jc w:val="center"/>
        </w:trPr>
        <w:tc>
          <w:tcPr>
            <w:tcW w:w="0" w:type="auto"/>
          </w:tcPr>
          <w:p w14:paraId="496BECFD" w14:textId="7A489189" w:rsidR="00777391" w:rsidRPr="00E60E24" w:rsidRDefault="00AD3AB3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  <w:lang w:val="en-US"/>
              </w:rPr>
              <w:t>MPC.N</w:t>
            </w:r>
          </w:p>
        </w:tc>
        <w:tc>
          <w:tcPr>
            <w:tcW w:w="0" w:type="auto"/>
          </w:tcPr>
          <w:p w14:paraId="4C6F7077" w14:textId="348DCBC6" w:rsidR="00777391" w:rsidRPr="00E60E24" w:rsidRDefault="00EA2769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2.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6A3A54CD" w14:textId="2CEAB524" w:rsidR="00777391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18.82</w:t>
            </w:r>
            <w:r w:rsidR="007419A9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4258C" w:rsidRPr="00E60E24" w14:paraId="04B962A4" w14:textId="77777777" w:rsidTr="00F54BD4">
        <w:trPr>
          <w:jc w:val="center"/>
        </w:trPr>
        <w:tc>
          <w:tcPr>
            <w:tcW w:w="0" w:type="auto"/>
          </w:tcPr>
          <w:p w14:paraId="1A98D0FD" w14:textId="45D2C1E7" w:rsidR="00777391" w:rsidRPr="00E60E24" w:rsidRDefault="00AD3AB3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  <w:lang w:val="en-US"/>
              </w:rPr>
              <w:t>DINO</w:t>
            </w:r>
          </w:p>
        </w:tc>
        <w:tc>
          <w:tcPr>
            <w:tcW w:w="0" w:type="auto"/>
          </w:tcPr>
          <w:p w14:paraId="73963B2B" w14:textId="4333F7FA" w:rsidR="00777391" w:rsidRPr="00E60E24" w:rsidRDefault="00EA2769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1.0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7</w:t>
            </w:r>
          </w:p>
        </w:tc>
        <w:tc>
          <w:tcPr>
            <w:tcW w:w="0" w:type="auto"/>
          </w:tcPr>
          <w:p w14:paraId="6568E8D7" w14:textId="3BBCF9C1" w:rsidR="00777391" w:rsidRPr="00E60E24" w:rsidRDefault="004062B8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3.68</w:t>
            </w:r>
            <w:r w:rsidR="007419A9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4258C" w:rsidRPr="00E60E24" w14:paraId="76F8B212" w14:textId="77777777" w:rsidTr="00F54BD4">
        <w:trPr>
          <w:jc w:val="center"/>
        </w:trPr>
        <w:tc>
          <w:tcPr>
            <w:tcW w:w="0" w:type="auto"/>
          </w:tcPr>
          <w:p w14:paraId="5709DB95" w14:textId="77777777" w:rsidR="00777391" w:rsidRPr="00E60E24" w:rsidRDefault="004062B8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PBF</w:t>
            </w:r>
          </w:p>
        </w:tc>
        <w:tc>
          <w:tcPr>
            <w:tcW w:w="0" w:type="auto"/>
          </w:tcPr>
          <w:p w14:paraId="3039D133" w14:textId="5BC622F9" w:rsidR="00777391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3.24</w:t>
            </w:r>
          </w:p>
        </w:tc>
        <w:tc>
          <w:tcPr>
            <w:tcW w:w="0" w:type="auto"/>
          </w:tcPr>
          <w:p w14:paraId="351B64D9" w14:textId="5B389DB2" w:rsidR="00443C8D" w:rsidRPr="00E60E24" w:rsidRDefault="00566AD1" w:rsidP="00A2086B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11.55</w:t>
            </w:r>
            <w:r w:rsidR="007419A9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1E1B8B" w:rsidRPr="00E60E24" w14:paraId="4A62BD85" w14:textId="77777777" w:rsidTr="00F54BD4">
        <w:trPr>
          <w:jc w:val="center"/>
        </w:trPr>
        <w:tc>
          <w:tcPr>
            <w:tcW w:w="0" w:type="auto"/>
          </w:tcPr>
          <w:p w14:paraId="2608969C" w14:textId="34758836" w:rsidR="001E1B8B" w:rsidRPr="00E60E24" w:rsidRDefault="001E1B8B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CV</w:t>
            </w:r>
            <w:r w:rsidR="00E10106" w:rsidRPr="00E60E24">
              <w:rPr>
                <w:rFonts w:ascii="Montserrat" w:hAnsi="Montserrat"/>
                <w:sz w:val="16"/>
                <w:szCs w:val="16"/>
              </w:rPr>
              <w:t>I</w:t>
            </w:r>
          </w:p>
        </w:tc>
        <w:tc>
          <w:tcPr>
            <w:tcW w:w="0" w:type="auto"/>
          </w:tcPr>
          <w:p w14:paraId="3286AFBF" w14:textId="26069D71" w:rsidR="001E1B8B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3.93</w:t>
            </w:r>
          </w:p>
        </w:tc>
        <w:tc>
          <w:tcPr>
            <w:tcW w:w="0" w:type="auto"/>
          </w:tcPr>
          <w:p w14:paraId="7410FA64" w14:textId="66D2C17A" w:rsidR="001E1B8B" w:rsidRPr="00E60E24" w:rsidRDefault="00566AD1" w:rsidP="001E1B8B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14.88</w:t>
            </w:r>
            <w:r w:rsidR="001E1B8B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1E1B8B" w:rsidRPr="00E60E24" w14:paraId="03C0FC09" w14:textId="77777777" w:rsidTr="00F54BD4">
        <w:trPr>
          <w:jc w:val="center"/>
        </w:trPr>
        <w:tc>
          <w:tcPr>
            <w:tcW w:w="0" w:type="auto"/>
          </w:tcPr>
          <w:p w14:paraId="1C4A5EAC" w14:textId="138F3287" w:rsidR="001E1B8B" w:rsidRPr="00E60E24" w:rsidRDefault="001E1B8B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DK</w:t>
            </w:r>
          </w:p>
        </w:tc>
        <w:tc>
          <w:tcPr>
            <w:tcW w:w="0" w:type="auto"/>
          </w:tcPr>
          <w:p w14:paraId="6C1EB95C" w14:textId="3E5565D3" w:rsidR="001E1B8B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5.03</w:t>
            </w:r>
          </w:p>
        </w:tc>
        <w:tc>
          <w:tcPr>
            <w:tcW w:w="0" w:type="auto"/>
          </w:tcPr>
          <w:p w14:paraId="71B9E632" w14:textId="6D3016D5" w:rsidR="001E1B8B" w:rsidRPr="00E60E24" w:rsidRDefault="00566AD1" w:rsidP="001E1B8B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22.12</w:t>
            </w:r>
            <w:r w:rsidR="001E1B8B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1E1B8B" w:rsidRPr="00E60E24" w14:paraId="79E56C20" w14:textId="77777777" w:rsidTr="00F54BD4">
        <w:trPr>
          <w:jc w:val="center"/>
        </w:trPr>
        <w:tc>
          <w:tcPr>
            <w:tcW w:w="0" w:type="auto"/>
          </w:tcPr>
          <w:p w14:paraId="45FE2347" w14:textId="73EC9D16" w:rsidR="001E1B8B" w:rsidRPr="00E60E24" w:rsidRDefault="00E7102B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CEQ</w:t>
            </w:r>
            <w:r w:rsidR="00480622" w:rsidRPr="00E60E24">
              <w:rPr>
                <w:rFonts w:ascii="Montserrat" w:hAnsi="Montserrat"/>
                <w:sz w:val="16"/>
                <w:szCs w:val="16"/>
              </w:rPr>
              <w:t>P</w:t>
            </w:r>
          </w:p>
        </w:tc>
        <w:tc>
          <w:tcPr>
            <w:tcW w:w="0" w:type="auto"/>
          </w:tcPr>
          <w:p w14:paraId="419C2DBD" w14:textId="7E2B5870" w:rsidR="001E1B8B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2.09</w:t>
            </w:r>
          </w:p>
        </w:tc>
        <w:tc>
          <w:tcPr>
            <w:tcW w:w="0" w:type="auto"/>
          </w:tcPr>
          <w:p w14:paraId="1F93886C" w14:textId="5FECCF93" w:rsidR="001E1B8B" w:rsidRPr="00E60E24" w:rsidRDefault="00E7102B" w:rsidP="001E1B8B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-0.0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9</w:t>
            </w:r>
            <w:r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1E1B8B" w:rsidRPr="00E60E24" w14:paraId="68BD9368" w14:textId="77777777" w:rsidTr="00F54BD4">
        <w:trPr>
          <w:jc w:val="center"/>
        </w:trPr>
        <w:tc>
          <w:tcPr>
            <w:tcW w:w="0" w:type="auto"/>
          </w:tcPr>
          <w:p w14:paraId="338F9DBA" w14:textId="42152C01" w:rsidR="001E1B8B" w:rsidRPr="00E60E24" w:rsidRDefault="00E7102B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PARR</w:t>
            </w:r>
          </w:p>
        </w:tc>
        <w:tc>
          <w:tcPr>
            <w:tcW w:w="0" w:type="auto"/>
          </w:tcPr>
          <w:p w14:paraId="27A2C1A9" w14:textId="1AE4233B" w:rsidR="001E1B8B" w:rsidRPr="00E60E24" w:rsidRDefault="00566AD1" w:rsidP="006E294A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5.09</w:t>
            </w:r>
          </w:p>
        </w:tc>
        <w:tc>
          <w:tcPr>
            <w:tcW w:w="0" w:type="auto"/>
          </w:tcPr>
          <w:p w14:paraId="29EC491C" w14:textId="3D284655" w:rsidR="001E1B8B" w:rsidRPr="00E60E24" w:rsidRDefault="00566AD1" w:rsidP="001E1B8B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49.18</w:t>
            </w:r>
            <w:r w:rsidR="00E7102B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</w:tbl>
    <w:p w14:paraId="361382E4" w14:textId="03E76EDB" w:rsidR="00A2086B" w:rsidRPr="00E60E24" w:rsidRDefault="000A5A50" w:rsidP="00F54BD4">
      <w:pPr>
        <w:pStyle w:val="Ttulo4"/>
        <w:spacing w:before="0"/>
        <w:jc w:val="center"/>
        <w:rPr>
          <w:rFonts w:ascii="Montserrat" w:hAnsi="Montserrat"/>
          <w:b/>
          <w:bCs w:val="0"/>
          <w:color w:val="auto"/>
          <w:sz w:val="10"/>
          <w:szCs w:val="10"/>
        </w:rPr>
      </w:pPr>
      <w:bookmarkStart w:id="6" w:name="tabla-1."/>
      <w:r w:rsidRPr="00E60E24">
        <w:rPr>
          <w:rFonts w:ascii="Montserrat" w:hAnsi="Montserrat"/>
          <w:color w:val="auto"/>
          <w:sz w:val="16"/>
          <w:szCs w:val="16"/>
        </w:rPr>
        <w:t>Fuente: Elaboración propia con datos de Reuters</w:t>
      </w:r>
    </w:p>
    <w:bookmarkEnd w:id="6"/>
    <w:p w14:paraId="3DD44331" w14:textId="59092226" w:rsidR="00777391" w:rsidRPr="00E60E24" w:rsidRDefault="00777391" w:rsidP="00443C8D">
      <w:pPr>
        <w:pStyle w:val="Ttulo4"/>
        <w:jc w:val="both"/>
        <w:rPr>
          <w:rFonts w:ascii="Montserrat" w:hAnsi="Montserrat"/>
          <w:color w:val="auto"/>
          <w:sz w:val="22"/>
          <w:szCs w:val="22"/>
        </w:rPr>
      </w:pPr>
    </w:p>
    <w:p w14:paraId="55670A78" w14:textId="77777777" w:rsidR="00443C8D" w:rsidRPr="00E60E24" w:rsidRDefault="00443C8D" w:rsidP="00443C8D">
      <w:pPr>
        <w:pStyle w:val="Textoindependiente"/>
        <w:rPr>
          <w:sz w:val="22"/>
          <w:szCs w:val="22"/>
        </w:rPr>
      </w:pPr>
    </w:p>
    <w:p w14:paraId="68C15636" w14:textId="77777777" w:rsidR="006C061C" w:rsidRPr="00E60E24" w:rsidRDefault="006C061C" w:rsidP="00443C8D">
      <w:pPr>
        <w:pStyle w:val="Textoindependiente"/>
        <w:rPr>
          <w:sz w:val="22"/>
          <w:szCs w:val="22"/>
        </w:rPr>
      </w:pPr>
    </w:p>
    <w:p w14:paraId="05B27A81" w14:textId="77777777" w:rsidR="006C061C" w:rsidRPr="00E60E24" w:rsidRDefault="006C061C" w:rsidP="00443C8D">
      <w:pPr>
        <w:pStyle w:val="Textoindependiente"/>
        <w:rPr>
          <w:sz w:val="22"/>
          <w:szCs w:val="22"/>
        </w:rPr>
      </w:pPr>
    </w:p>
    <w:p w14:paraId="498C3580" w14:textId="77777777" w:rsidR="006C061C" w:rsidRPr="00E60E24" w:rsidRDefault="006C061C" w:rsidP="00443C8D">
      <w:pPr>
        <w:pStyle w:val="Textoindependiente"/>
        <w:rPr>
          <w:sz w:val="22"/>
          <w:szCs w:val="22"/>
        </w:rPr>
      </w:pPr>
    </w:p>
    <w:p w14:paraId="39554D82" w14:textId="77777777" w:rsidR="006C061C" w:rsidRPr="00E60E24" w:rsidRDefault="006C061C" w:rsidP="00443C8D">
      <w:pPr>
        <w:pStyle w:val="Textoindependiente"/>
        <w:rPr>
          <w:sz w:val="22"/>
          <w:szCs w:val="22"/>
        </w:rPr>
      </w:pPr>
    </w:p>
    <w:p w14:paraId="0619B672" w14:textId="7D16091C" w:rsidR="006E294A" w:rsidRPr="00E60E24" w:rsidRDefault="00581C77" w:rsidP="006E294A">
      <w:pPr>
        <w:pStyle w:val="Textoindependiente"/>
        <w:rPr>
          <w:rFonts w:ascii="Montserrat" w:hAnsi="Montserrat"/>
          <w:b/>
          <w:bCs/>
          <w:i/>
          <w:iCs/>
          <w:sz w:val="22"/>
          <w:szCs w:val="22"/>
        </w:rPr>
      </w:pPr>
      <w:bookmarkStart w:id="7" w:name="X435ded00d2e8ffb642cf4f58a60b5c6d2833dd5"/>
      <w:bookmarkStart w:id="8" w:name="series-históricas-de-rendimiento."/>
      <w:bookmarkEnd w:id="3"/>
      <w:bookmarkEnd w:id="5"/>
      <w:r w:rsidRPr="00E60E24">
        <w:rPr>
          <w:rFonts w:ascii="Montserrat" w:hAnsi="Montserrat"/>
          <w:b/>
          <w:bCs/>
          <w:sz w:val="22"/>
          <w:szCs w:val="22"/>
        </w:rPr>
        <w:t>1.2.1.</w:t>
      </w:r>
      <w:r w:rsidR="00FC5170" w:rsidRPr="00E60E24">
        <w:rPr>
          <w:rFonts w:ascii="Montserrat" w:hAnsi="Montserrat"/>
          <w:b/>
          <w:bCs/>
          <w:sz w:val="22"/>
          <w:szCs w:val="22"/>
        </w:rPr>
        <w:t>1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. Cálculo de </w:t>
      </w:r>
      <w:r w:rsidR="00175E86" w:rsidRPr="00E60E24">
        <w:rPr>
          <w:rFonts w:ascii="Montserrat" w:hAnsi="Montserrat"/>
          <w:b/>
          <w:bCs/>
          <w:sz w:val="22"/>
          <w:szCs w:val="22"/>
        </w:rPr>
        <w:t>b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eta </w:t>
      </w:r>
      <w:r w:rsidR="00175E86" w:rsidRPr="00E60E24">
        <w:rPr>
          <w:rFonts w:ascii="Montserrat" w:hAnsi="Montserrat"/>
          <w:b/>
          <w:bCs/>
          <w:sz w:val="22"/>
          <w:szCs w:val="22"/>
        </w:rPr>
        <w:t>a</w:t>
      </w:r>
      <w:r w:rsidRPr="00E60E24">
        <w:rPr>
          <w:rFonts w:ascii="Montserrat" w:hAnsi="Montserrat"/>
          <w:b/>
          <w:bCs/>
          <w:sz w:val="22"/>
          <w:szCs w:val="22"/>
        </w:rPr>
        <w:t>palancada</w:t>
      </w:r>
    </w:p>
    <w:p w14:paraId="34C6C2EC" w14:textId="393E2AC4" w:rsidR="00777391" w:rsidRPr="00E60E24" w:rsidRDefault="004062B8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Con los valores </w:t>
      </w:r>
      <w:r w:rsidR="00FC5170" w:rsidRPr="00E60E24">
        <w:rPr>
          <w:rFonts w:ascii="Montserrat" w:hAnsi="Montserrat"/>
          <w:sz w:val="22"/>
          <w:szCs w:val="22"/>
        </w:rPr>
        <w:t>de las empresas energéticas anteriormente menci</w:t>
      </w:r>
      <w:r w:rsidR="007B3E48" w:rsidRPr="00E60E24">
        <w:rPr>
          <w:rFonts w:ascii="Montserrat" w:hAnsi="Montserrat"/>
          <w:sz w:val="22"/>
          <w:szCs w:val="22"/>
        </w:rPr>
        <w:t>on</w:t>
      </w:r>
      <w:r w:rsidR="00FC5170" w:rsidRPr="00E60E24">
        <w:rPr>
          <w:rFonts w:ascii="Montserrat" w:hAnsi="Montserrat"/>
          <w:sz w:val="22"/>
          <w:szCs w:val="22"/>
        </w:rPr>
        <w:t>adas</w:t>
      </w:r>
      <w:r w:rsidRPr="00E60E24">
        <w:rPr>
          <w:rFonts w:ascii="Montserrat" w:hAnsi="Montserrat"/>
          <w:sz w:val="22"/>
          <w:szCs w:val="22"/>
        </w:rPr>
        <w:t xml:space="preserve">, se </w:t>
      </w:r>
      <w:r w:rsidR="000A0D49" w:rsidRPr="00E60E24">
        <w:rPr>
          <w:rFonts w:ascii="Montserrat" w:hAnsi="Montserrat"/>
          <w:sz w:val="22"/>
          <w:szCs w:val="22"/>
        </w:rPr>
        <w:t>calculó</w:t>
      </w:r>
      <w:r w:rsidRPr="00E60E24">
        <w:rPr>
          <w:rFonts w:ascii="Montserrat" w:hAnsi="Montserrat"/>
          <w:sz w:val="22"/>
          <w:szCs w:val="22"/>
        </w:rPr>
        <w:t xml:space="preserve"> la </w:t>
      </w:r>
      <w:r w:rsidR="00175E86" w:rsidRPr="00E60E24">
        <w:rPr>
          <w:rFonts w:ascii="Montserrat" w:hAnsi="Montserrat"/>
          <w:sz w:val="22"/>
          <w:szCs w:val="22"/>
        </w:rPr>
        <w:t>b</w:t>
      </w:r>
      <w:r w:rsidRPr="00E60E24">
        <w:rPr>
          <w:rFonts w:ascii="Montserrat" w:hAnsi="Montserrat"/>
          <w:sz w:val="22"/>
          <w:szCs w:val="22"/>
        </w:rPr>
        <w:t xml:space="preserve">eta de </w:t>
      </w:r>
      <w:r w:rsidR="00175E86" w:rsidRPr="00E60E24">
        <w:rPr>
          <w:rFonts w:ascii="Montserrat" w:hAnsi="Montserrat"/>
          <w:sz w:val="22"/>
          <w:szCs w:val="22"/>
        </w:rPr>
        <w:t>a</w:t>
      </w:r>
      <w:r w:rsidRPr="00E60E24">
        <w:rPr>
          <w:rFonts w:ascii="Montserrat" w:hAnsi="Montserrat"/>
          <w:sz w:val="22"/>
          <w:szCs w:val="22"/>
        </w:rPr>
        <w:t xml:space="preserve">ctivo </w:t>
      </w:r>
      <w:r w:rsidR="00175E86" w:rsidRPr="00E60E24">
        <w:rPr>
          <w:rFonts w:ascii="Montserrat" w:hAnsi="Montserrat"/>
          <w:sz w:val="22"/>
          <w:szCs w:val="22"/>
        </w:rPr>
        <w:t>a</w:t>
      </w:r>
      <w:r w:rsidRPr="00E60E24">
        <w:rPr>
          <w:rFonts w:ascii="Montserrat" w:hAnsi="Montserrat"/>
          <w:sz w:val="22"/>
          <w:szCs w:val="22"/>
        </w:rPr>
        <w:t>palancada</w:t>
      </w:r>
      <w:r w:rsidR="000A0D49" w:rsidRPr="00E60E24">
        <w:rPr>
          <w:rFonts w:ascii="Montserrat" w:hAnsi="Montserrat"/>
          <w:sz w:val="22"/>
          <w:szCs w:val="22"/>
        </w:rPr>
        <w:t xml:space="preserve">, por medio de </w:t>
      </w:r>
      <w:r w:rsidRPr="00E60E24">
        <w:rPr>
          <w:rFonts w:ascii="Montserrat" w:hAnsi="Montserrat"/>
          <w:sz w:val="22"/>
          <w:szCs w:val="22"/>
        </w:rPr>
        <w:t>la siguiente fórmula:</w:t>
      </w:r>
    </w:p>
    <w:p w14:paraId="27B92B45" w14:textId="77777777" w:rsidR="00275BC0" w:rsidRPr="00E60E24" w:rsidRDefault="00275BC0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</w:p>
    <w:bookmarkStart w:id="9" w:name="X6a40583b6b53f876f2471aff86fa0a2d1e4eda8"/>
    <w:bookmarkEnd w:id="7"/>
    <w:p w14:paraId="67639C48" w14:textId="7A0538C5" w:rsidR="0020007B" w:rsidRPr="00E60E24" w:rsidRDefault="00000000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apalancada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co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mercado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portafolio</m:t>
                      </m:r>
                    </m:e>
                  </m:d>
                </m:sub>
              </m:sSub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va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mercado</m:t>
                      </m:r>
                    </m:e>
                  </m:d>
                </m:sub>
              </m:sSub>
            </m:den>
          </m:f>
        </m:oMath>
      </m:oMathPara>
    </w:p>
    <w:p w14:paraId="095AC35B" w14:textId="20FB6670" w:rsidR="0020007B" w:rsidRPr="00E60E24" w:rsidRDefault="0020007B" w:rsidP="0020007B">
      <w:pPr>
        <w:pStyle w:val="Ttulo4"/>
        <w:jc w:val="both"/>
        <w:rPr>
          <w:rFonts w:ascii="Montserrat" w:hAnsi="Montserrat"/>
          <w:b/>
          <w:bCs w:val="0"/>
          <w:sz w:val="22"/>
          <w:szCs w:val="22"/>
        </w:rPr>
      </w:pPr>
      <w:r w:rsidRPr="00E60E24">
        <w:rPr>
          <w:rFonts w:ascii="Montserrat" w:hAnsi="Montserrat"/>
          <w:b/>
          <w:bCs w:val="0"/>
          <w:color w:val="auto"/>
          <w:sz w:val="16"/>
          <w:szCs w:val="16"/>
        </w:rPr>
        <w:t xml:space="preserve">Ecuación 1. Fórmula de la </w:t>
      </w:r>
      <w:r w:rsidR="00175E86" w:rsidRPr="00E60E24">
        <w:rPr>
          <w:rFonts w:ascii="Montserrat" w:hAnsi="Montserrat"/>
          <w:b/>
          <w:bCs w:val="0"/>
          <w:color w:val="auto"/>
          <w:sz w:val="16"/>
          <w:szCs w:val="16"/>
        </w:rPr>
        <w:t>b</w:t>
      </w:r>
      <w:r w:rsidRPr="00E60E24">
        <w:rPr>
          <w:rFonts w:ascii="Montserrat" w:hAnsi="Montserrat"/>
          <w:b/>
          <w:bCs w:val="0"/>
          <w:color w:val="auto"/>
          <w:sz w:val="16"/>
          <w:szCs w:val="16"/>
        </w:rPr>
        <w:t>eta apalancada.</w:t>
      </w:r>
    </w:p>
    <w:p w14:paraId="159DFEC9" w14:textId="44FCDBE8" w:rsidR="0020007B" w:rsidRPr="00E60E24" w:rsidRDefault="0020007B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</w:p>
    <w:p w14:paraId="4B228342" w14:textId="6E365056" w:rsidR="0005221C" w:rsidRPr="00E60E24" w:rsidRDefault="0005221C" w:rsidP="0005221C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Al sustituir los valores obtenemos:</w:t>
      </w:r>
    </w:p>
    <w:p w14:paraId="338D3477" w14:textId="77777777" w:rsidR="0005221C" w:rsidRPr="00E60E24" w:rsidRDefault="0005221C" w:rsidP="0005221C">
      <w:pPr>
        <w:pStyle w:val="Textoindependiente"/>
        <w:rPr>
          <w:sz w:val="22"/>
          <w:szCs w:val="22"/>
        </w:rPr>
      </w:pPr>
    </w:p>
    <w:p w14:paraId="1C1BBD06" w14:textId="564E130E" w:rsidR="0005221C" w:rsidRPr="00E60E24" w:rsidRDefault="00000000" w:rsidP="0005221C">
      <w:pPr>
        <w:pStyle w:val="Textoindependiente"/>
        <w:rPr>
          <w:rFonts w:eastAsiaTheme="minorEastAsia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apalancada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  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0.0046555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0.0029106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=1.60</m:t>
          </m:r>
        </m:oMath>
      </m:oMathPara>
    </w:p>
    <w:p w14:paraId="1D1D0BE4" w14:textId="01BF2CC3" w:rsidR="0005221C" w:rsidRPr="00E60E24" w:rsidRDefault="0005221C" w:rsidP="0005221C">
      <w:pPr>
        <w:pStyle w:val="Textoindependiente"/>
        <w:rPr>
          <w:sz w:val="22"/>
          <w:szCs w:val="22"/>
        </w:rPr>
      </w:pPr>
    </w:p>
    <w:p w14:paraId="1E646C9C" w14:textId="736F730F" w:rsidR="00777391" w:rsidRPr="00E60E24" w:rsidRDefault="004062B8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Donde</w:t>
      </w:r>
      <w:r w:rsidR="00275BC0" w:rsidRPr="00E60E24">
        <w:rPr>
          <w:rFonts w:ascii="Montserrat" w:hAnsi="Montserrat"/>
          <w:sz w:val="22"/>
          <w:szCs w:val="22"/>
        </w:rPr>
        <w:t>:</w:t>
      </w:r>
    </w:p>
    <w:p w14:paraId="0DA74D01" w14:textId="77777777" w:rsidR="00777391" w:rsidRPr="00E60E24" w:rsidRDefault="004062B8" w:rsidP="006E294A">
      <w:pPr>
        <w:numPr>
          <w:ilvl w:val="0"/>
          <w:numId w:val="4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Beta apalancada.</w:t>
      </w:r>
      <w:r w:rsidRPr="00E60E24">
        <w:rPr>
          <w:rFonts w:ascii="Montserrat" w:hAnsi="Montserrat"/>
          <w:sz w:val="22"/>
          <w:szCs w:val="22"/>
        </w:rPr>
        <w:t xml:space="preserve"> Es el coeficiente entre la tasa de rentabilidad del mercado y la tasa de rentabilidad del sector energético a partir del capital y el pasivo.</w:t>
      </w:r>
    </w:p>
    <w:p w14:paraId="6641D8E8" w14:textId="6E640D91" w:rsidR="00777391" w:rsidRPr="00E60E24" w:rsidRDefault="00275BC0" w:rsidP="006E294A">
      <w:pPr>
        <w:numPr>
          <w:ilvl w:val="0"/>
          <w:numId w:val="4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COV</w:t>
      </w:r>
      <w:r w:rsidR="000A0D49" w:rsidRPr="00E60E24">
        <w:rPr>
          <w:rFonts w:ascii="Montserrat" w:hAnsi="Montserrat"/>
          <w:b/>
          <w:bCs/>
          <w:sz w:val="22"/>
          <w:szCs w:val="22"/>
        </w:rPr>
        <w:t xml:space="preserve"> </w:t>
      </w:r>
      <w:r w:rsidR="004062B8" w:rsidRPr="00E60E24">
        <w:rPr>
          <w:rFonts w:ascii="Montserrat" w:hAnsi="Montserrat"/>
          <w:b/>
          <w:bCs/>
          <w:sz w:val="22"/>
          <w:szCs w:val="22"/>
        </w:rPr>
        <w:t>(mercado, portafolio).</w:t>
      </w:r>
      <w:r w:rsidR="004062B8" w:rsidRPr="00E60E24">
        <w:rPr>
          <w:rFonts w:ascii="Montserrat" w:hAnsi="Montserrat"/>
          <w:sz w:val="22"/>
          <w:szCs w:val="22"/>
        </w:rPr>
        <w:t xml:space="preserve"> Representa la covarianza de la tasa de rentabilidad de mercado y la tasa de rentabilidad del sector energético. Indica el grado de variación conjunta de las dos variables respecto a sus promedios.</w:t>
      </w:r>
    </w:p>
    <w:p w14:paraId="7F97586E" w14:textId="45FB7545" w:rsidR="006E294A" w:rsidRPr="00E60E24" w:rsidRDefault="00275BC0" w:rsidP="006E294A">
      <w:pPr>
        <w:numPr>
          <w:ilvl w:val="0"/>
          <w:numId w:val="4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VAR</w:t>
      </w:r>
      <w:r w:rsidR="000A0D49" w:rsidRPr="00E60E24">
        <w:rPr>
          <w:rFonts w:ascii="Montserrat" w:hAnsi="Montserrat"/>
          <w:b/>
          <w:bCs/>
          <w:sz w:val="22"/>
          <w:szCs w:val="22"/>
        </w:rPr>
        <w:t xml:space="preserve"> </w:t>
      </w:r>
      <w:r w:rsidR="004062B8" w:rsidRPr="00E60E24">
        <w:rPr>
          <w:rFonts w:ascii="Montserrat" w:hAnsi="Montserrat"/>
          <w:b/>
          <w:bCs/>
          <w:sz w:val="22"/>
          <w:szCs w:val="22"/>
        </w:rPr>
        <w:t>(mercado).</w:t>
      </w:r>
      <w:r w:rsidR="004062B8" w:rsidRPr="00E60E24">
        <w:rPr>
          <w:rFonts w:ascii="Montserrat" w:hAnsi="Montserrat"/>
          <w:sz w:val="22"/>
          <w:szCs w:val="22"/>
        </w:rPr>
        <w:t xml:space="preserve"> Representa el grado de variación de la tasa de rentabilidad del mercado, respecto de su promedio.</w:t>
      </w:r>
    </w:p>
    <w:p w14:paraId="044F63DB" w14:textId="77777777" w:rsidR="00A2086B" w:rsidRPr="00E60E24" w:rsidRDefault="00A2086B" w:rsidP="00581C77">
      <w:pPr>
        <w:pStyle w:val="Textoindependiente"/>
        <w:rPr>
          <w:rFonts w:ascii="Montserrat" w:hAnsi="Montserrat"/>
          <w:b/>
          <w:bCs/>
          <w:sz w:val="22"/>
          <w:szCs w:val="22"/>
        </w:rPr>
      </w:pPr>
    </w:p>
    <w:p w14:paraId="42CFC00C" w14:textId="61FA8D37" w:rsidR="00275BC0" w:rsidRPr="00E60E24" w:rsidRDefault="00581C77" w:rsidP="00581C77">
      <w:pPr>
        <w:pStyle w:val="Textoindependiente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 xml:space="preserve">Resultado de la </w:t>
      </w:r>
      <w:r w:rsidR="00175E86" w:rsidRPr="00E60E24">
        <w:rPr>
          <w:rFonts w:ascii="Montserrat" w:hAnsi="Montserrat"/>
          <w:b/>
          <w:bCs/>
          <w:sz w:val="22"/>
          <w:szCs w:val="22"/>
        </w:rPr>
        <w:t>b</w:t>
      </w:r>
      <w:r w:rsidR="00275BC0" w:rsidRPr="00E60E24">
        <w:rPr>
          <w:rFonts w:ascii="Montserrat" w:hAnsi="Montserrat"/>
          <w:b/>
          <w:bCs/>
          <w:sz w:val="22"/>
          <w:szCs w:val="22"/>
        </w:rPr>
        <w:t xml:space="preserve">eta </w:t>
      </w:r>
      <w:r w:rsidR="00175E86" w:rsidRPr="00E60E24">
        <w:rPr>
          <w:rFonts w:ascii="Montserrat" w:hAnsi="Montserrat"/>
          <w:b/>
          <w:bCs/>
          <w:sz w:val="22"/>
          <w:szCs w:val="22"/>
        </w:rPr>
        <w:t>a</w:t>
      </w:r>
      <w:r w:rsidR="0020007B" w:rsidRPr="00E60E24">
        <w:rPr>
          <w:rFonts w:ascii="Montserrat" w:hAnsi="Montserrat"/>
          <w:b/>
          <w:bCs/>
          <w:sz w:val="22"/>
          <w:szCs w:val="22"/>
        </w:rPr>
        <w:t>palancada</w:t>
      </w:r>
      <w:r w:rsidR="00275BC0" w:rsidRPr="00E60E24">
        <w:rPr>
          <w:rFonts w:ascii="Montserrat" w:hAnsi="Montserrat"/>
          <w:b/>
          <w:bCs/>
          <w:sz w:val="22"/>
          <w:szCs w:val="22"/>
        </w:rPr>
        <w:t xml:space="preserve">: </w:t>
      </w:r>
      <w:r w:rsidR="00566AD1" w:rsidRPr="00E60E24">
        <w:rPr>
          <w:rFonts w:ascii="Montserrat" w:hAnsi="Montserrat"/>
          <w:b/>
          <w:bCs/>
          <w:sz w:val="22"/>
          <w:szCs w:val="22"/>
        </w:rPr>
        <w:t>1.60</w:t>
      </w:r>
    </w:p>
    <w:p w14:paraId="6F97AA18" w14:textId="1094458E" w:rsidR="00581C77" w:rsidRPr="00E60E24" w:rsidRDefault="00581C77" w:rsidP="00581C77">
      <w:pPr>
        <w:pStyle w:val="Textoindependiente"/>
        <w:rPr>
          <w:rFonts w:ascii="Montserrat" w:hAnsi="Montserrat"/>
          <w:b/>
          <w:bCs/>
          <w:sz w:val="22"/>
          <w:szCs w:val="22"/>
        </w:rPr>
      </w:pPr>
    </w:p>
    <w:p w14:paraId="4F4D4A4D" w14:textId="2EF74F9E" w:rsidR="00581C77" w:rsidRPr="00E60E24" w:rsidRDefault="00581C77" w:rsidP="00581C77">
      <w:pPr>
        <w:pStyle w:val="Textoindependiente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1.2.1.</w:t>
      </w:r>
      <w:r w:rsidR="00FC5170" w:rsidRPr="00E60E24">
        <w:rPr>
          <w:rFonts w:ascii="Montserrat" w:hAnsi="Montserrat"/>
          <w:b/>
          <w:bCs/>
          <w:sz w:val="22"/>
          <w:szCs w:val="22"/>
        </w:rPr>
        <w:t>2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. Cálculo de </w:t>
      </w:r>
      <w:r w:rsidR="00175E86" w:rsidRPr="00E60E24">
        <w:rPr>
          <w:rFonts w:ascii="Montserrat" w:hAnsi="Montserrat"/>
          <w:b/>
          <w:bCs/>
          <w:sz w:val="22"/>
          <w:szCs w:val="22"/>
        </w:rPr>
        <w:t>b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eta sin </w:t>
      </w:r>
      <w:r w:rsidR="00175E86" w:rsidRPr="00E60E24">
        <w:rPr>
          <w:rFonts w:ascii="Montserrat" w:hAnsi="Montserrat"/>
          <w:b/>
          <w:bCs/>
          <w:sz w:val="22"/>
          <w:szCs w:val="22"/>
        </w:rPr>
        <w:t>a</w:t>
      </w:r>
      <w:r w:rsidRPr="00E60E24">
        <w:rPr>
          <w:rFonts w:ascii="Montserrat" w:hAnsi="Montserrat"/>
          <w:b/>
          <w:bCs/>
          <w:sz w:val="22"/>
          <w:szCs w:val="22"/>
        </w:rPr>
        <w:t>palancar</w:t>
      </w:r>
    </w:p>
    <w:p w14:paraId="54DA6313" w14:textId="77777777" w:rsidR="00581C77" w:rsidRPr="00E60E24" w:rsidRDefault="00581C77" w:rsidP="00581C77">
      <w:pPr>
        <w:pStyle w:val="Textoindependiente"/>
        <w:rPr>
          <w:rFonts w:ascii="Montserrat" w:hAnsi="Montserrat"/>
          <w:sz w:val="22"/>
          <w:szCs w:val="22"/>
        </w:rPr>
      </w:pPr>
    </w:p>
    <w:p w14:paraId="27DC88D1" w14:textId="60B62302" w:rsidR="00777391" w:rsidRPr="00E60E24" w:rsidRDefault="004062B8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Debido a que se analiza</w:t>
      </w:r>
      <w:r w:rsidR="007F14F8" w:rsidRPr="00E60E24">
        <w:rPr>
          <w:rFonts w:ascii="Montserrat" w:hAnsi="Montserrat"/>
          <w:sz w:val="22"/>
          <w:szCs w:val="22"/>
        </w:rPr>
        <w:t>rá</w:t>
      </w:r>
      <w:r w:rsidR="007419A9" w:rsidRPr="00E60E24">
        <w:rPr>
          <w:rFonts w:ascii="Montserrat" w:hAnsi="Montserrat"/>
          <w:sz w:val="22"/>
          <w:szCs w:val="22"/>
        </w:rPr>
        <w:t xml:space="preserve"> la tasa de retorno del capital invertido</w:t>
      </w:r>
      <w:r w:rsidRPr="00E60E24">
        <w:rPr>
          <w:rFonts w:ascii="Montserrat" w:hAnsi="Montserrat"/>
          <w:sz w:val="22"/>
          <w:szCs w:val="22"/>
        </w:rPr>
        <w:t xml:space="preserve">, </w:t>
      </w:r>
      <w:r w:rsidR="007F14F8" w:rsidRPr="00E60E24">
        <w:rPr>
          <w:rFonts w:ascii="Montserrat" w:hAnsi="Montserrat"/>
          <w:sz w:val="22"/>
          <w:szCs w:val="22"/>
        </w:rPr>
        <w:t>es necesario ocupar</w:t>
      </w:r>
      <w:r w:rsidR="0074258C" w:rsidRPr="00E60E24">
        <w:rPr>
          <w:rFonts w:ascii="Montserrat" w:hAnsi="Montserrat"/>
          <w:sz w:val="22"/>
          <w:szCs w:val="22"/>
        </w:rPr>
        <w:t xml:space="preserve"> </w:t>
      </w:r>
      <w:r w:rsidRPr="00E60E24">
        <w:rPr>
          <w:rFonts w:ascii="Montserrat" w:hAnsi="Montserrat"/>
          <w:sz w:val="22"/>
          <w:szCs w:val="22"/>
        </w:rPr>
        <w:t xml:space="preserve">la </w:t>
      </w:r>
      <w:r w:rsidR="00BE7A9B" w:rsidRPr="00E60E24">
        <w:rPr>
          <w:rFonts w:ascii="Montserrat" w:hAnsi="Montserrat"/>
          <w:sz w:val="22"/>
          <w:szCs w:val="22"/>
        </w:rPr>
        <w:t>b</w:t>
      </w:r>
      <w:r w:rsidRPr="00E60E24">
        <w:rPr>
          <w:rFonts w:ascii="Montserrat" w:hAnsi="Montserrat"/>
          <w:sz w:val="22"/>
          <w:szCs w:val="22"/>
        </w:rPr>
        <w:t xml:space="preserve">eta sin apalancamiento la cuál </w:t>
      </w:r>
      <w:r w:rsidR="007419A9" w:rsidRPr="00E60E24">
        <w:rPr>
          <w:rFonts w:ascii="Montserrat" w:hAnsi="Montserrat"/>
          <w:sz w:val="22"/>
          <w:szCs w:val="22"/>
        </w:rPr>
        <w:t xml:space="preserve">desestima </w:t>
      </w:r>
      <w:r w:rsidRPr="00E60E24">
        <w:rPr>
          <w:rFonts w:ascii="Montserrat" w:hAnsi="Montserrat"/>
          <w:sz w:val="22"/>
          <w:szCs w:val="22"/>
        </w:rPr>
        <w:t>el pasivo y la tasa efectiva de impuestos</w:t>
      </w:r>
      <w:r w:rsidR="00E1212A" w:rsidRPr="00E60E24">
        <w:rPr>
          <w:rFonts w:ascii="Montserrat" w:hAnsi="Montserrat"/>
          <w:sz w:val="22"/>
          <w:szCs w:val="22"/>
        </w:rPr>
        <w:t>:</w:t>
      </w:r>
    </w:p>
    <w:p w14:paraId="628CD5C1" w14:textId="77777777" w:rsidR="00E1212A" w:rsidRPr="00E60E24" w:rsidRDefault="00E1212A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</w:p>
    <w:bookmarkStart w:id="10" w:name="Xcf8dc8fb707ce4e1e0a5240fc5897bc901bd88a"/>
    <w:bookmarkEnd w:id="9"/>
    <w:p w14:paraId="197D820A" w14:textId="77777777" w:rsidR="00777391" w:rsidRPr="00E60E24" w:rsidRDefault="00000000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/</m:t>
              </m:r>
              <m:r>
                <w:rPr>
                  <w:rFonts w:ascii="Cambria Math" w:hAnsi="Cambria Math"/>
                  <w:sz w:val="22"/>
                  <w:szCs w:val="22"/>
                </w:rPr>
                <m:t>apalancamiento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apalancada</m:t>
                  </m:r>
                </m:sub>
              </m:sSub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Tx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Deuda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Capital</m:t>
                      </m:r>
                    </m:den>
                  </m:f>
                </m:e>
              </m:d>
            </m:den>
          </m:f>
        </m:oMath>
      </m:oMathPara>
    </w:p>
    <w:p w14:paraId="3C413F7F" w14:textId="16FD1338" w:rsidR="00890BFE" w:rsidRPr="00E60E24" w:rsidRDefault="00890BFE" w:rsidP="00890BFE">
      <w:pPr>
        <w:pStyle w:val="Ttulo4"/>
        <w:jc w:val="both"/>
        <w:rPr>
          <w:rFonts w:ascii="Montserrat" w:hAnsi="Montserrat"/>
          <w:b/>
          <w:bCs w:val="0"/>
          <w:color w:val="auto"/>
          <w:sz w:val="22"/>
          <w:szCs w:val="22"/>
        </w:rPr>
      </w:pPr>
      <w:r w:rsidRPr="00E60E24">
        <w:rPr>
          <w:rFonts w:ascii="Montserrat" w:hAnsi="Montserrat"/>
          <w:b/>
          <w:bCs w:val="0"/>
          <w:color w:val="auto"/>
          <w:sz w:val="16"/>
          <w:szCs w:val="16"/>
        </w:rPr>
        <w:t xml:space="preserve">Ecuación 2. </w:t>
      </w:r>
      <w:r w:rsidR="009032CF" w:rsidRPr="00E60E24">
        <w:rPr>
          <w:rFonts w:ascii="Montserrat" w:hAnsi="Montserrat"/>
          <w:b/>
          <w:bCs w:val="0"/>
          <w:color w:val="auto"/>
          <w:sz w:val="16"/>
          <w:szCs w:val="16"/>
        </w:rPr>
        <w:t>F</w:t>
      </w:r>
      <w:r w:rsidRPr="00E60E24">
        <w:rPr>
          <w:rFonts w:ascii="Montserrat" w:hAnsi="Montserrat"/>
          <w:b/>
          <w:bCs w:val="0"/>
          <w:color w:val="auto"/>
          <w:sz w:val="16"/>
          <w:szCs w:val="16"/>
        </w:rPr>
        <w:t>órmula de la beta sin apalancamiento.</w:t>
      </w:r>
    </w:p>
    <w:p w14:paraId="4A5527BF" w14:textId="314A97A1" w:rsidR="00890BFE" w:rsidRPr="00E60E24" w:rsidRDefault="00890BFE" w:rsidP="00890BFE">
      <w:pPr>
        <w:pStyle w:val="Textoindependiente"/>
        <w:rPr>
          <w:sz w:val="22"/>
          <w:szCs w:val="22"/>
        </w:rPr>
      </w:pPr>
    </w:p>
    <w:p w14:paraId="60E99D9F" w14:textId="140024C7" w:rsidR="0005221C" w:rsidRPr="00E60E24" w:rsidRDefault="0005221C" w:rsidP="0005221C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Para obtener el resultado, se sustituyen los valores:</w:t>
      </w:r>
    </w:p>
    <w:p w14:paraId="15A7C97E" w14:textId="77777777" w:rsidR="0005221C" w:rsidRPr="00E60E24" w:rsidRDefault="0005221C" w:rsidP="00890BFE">
      <w:pPr>
        <w:pStyle w:val="Textoindependiente"/>
        <w:rPr>
          <w:sz w:val="22"/>
          <w:szCs w:val="22"/>
        </w:rPr>
      </w:pPr>
    </w:p>
    <w:p w14:paraId="769D2E9F" w14:textId="7DE3991B" w:rsidR="0005221C" w:rsidRPr="00E60E24" w:rsidRDefault="00000000" w:rsidP="0005221C">
      <w:pPr>
        <w:pStyle w:val="FirstParagraph"/>
        <w:jc w:val="both"/>
        <w:rPr>
          <w:rFonts w:ascii="Montserrat" w:hAnsi="Montserrat"/>
          <w:sz w:val="22"/>
          <w:szCs w:val="2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/</m:t>
              </m:r>
              <m:r>
                <w:rPr>
                  <w:rFonts w:ascii="Cambria Math" w:hAnsi="Cambria Math"/>
                  <w:sz w:val="22"/>
                  <w:szCs w:val="22"/>
                </w:rPr>
                <m:t>apalancamiento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1.60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0.2231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2.45</m:t>
                  </m:r>
                </m:e>
              </m:d>
            </m:den>
          </m:f>
          <m:r>
            <w:rPr>
              <w:rFonts w:ascii="Cambria Math" w:eastAsiaTheme="minorEastAsia" w:hAnsi="Cambria Math"/>
              <w:sz w:val="22"/>
              <w:szCs w:val="22"/>
            </w:rPr>
            <m:t>=0.66</m:t>
          </m:r>
        </m:oMath>
      </m:oMathPara>
    </w:p>
    <w:p w14:paraId="2770E695" w14:textId="73F45668" w:rsidR="0005221C" w:rsidRPr="00E60E24" w:rsidRDefault="0045378F" w:rsidP="00890BFE">
      <w:pPr>
        <w:pStyle w:val="Textoindependiente"/>
        <w:rPr>
          <w:sz w:val="22"/>
          <w:szCs w:val="22"/>
        </w:rPr>
      </w:pPr>
      <w:r w:rsidRPr="00E60E24">
        <w:rPr>
          <w:rFonts w:ascii="Montserrat" w:hAnsi="Montserrat" w:cs="Arial"/>
          <w:color w:val="000000"/>
          <w:sz w:val="18"/>
          <w:szCs w:val="18"/>
        </w:rPr>
        <w:t>* Debido al redondeo de las cifras, el total puede no coincidir con la suma de los elementos</w:t>
      </w:r>
      <w:r w:rsidR="00C254FA" w:rsidRPr="00E60E24">
        <w:rPr>
          <w:rFonts w:ascii="Montserrat" w:hAnsi="Montserrat" w:cs="Arial"/>
          <w:color w:val="000000"/>
          <w:sz w:val="18"/>
          <w:szCs w:val="18"/>
        </w:rPr>
        <w:t>.</w:t>
      </w:r>
    </w:p>
    <w:p w14:paraId="2ABA79F1" w14:textId="77777777" w:rsidR="00F43515" w:rsidRPr="00E60E24" w:rsidRDefault="00F43515" w:rsidP="00F43515">
      <w:pPr>
        <w:pStyle w:val="Textoindependiente"/>
        <w:rPr>
          <w:sz w:val="22"/>
          <w:szCs w:val="22"/>
        </w:rPr>
      </w:pPr>
    </w:p>
    <w:p w14:paraId="7EF26D68" w14:textId="1194CF7C" w:rsidR="00777391" w:rsidRPr="00E60E24" w:rsidRDefault="004062B8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Donde</w:t>
      </w:r>
      <w:r w:rsidR="00581C77" w:rsidRPr="00E60E24">
        <w:rPr>
          <w:rFonts w:ascii="Montserrat" w:hAnsi="Montserrat"/>
          <w:sz w:val="22"/>
          <w:szCs w:val="22"/>
        </w:rPr>
        <w:t>:</w:t>
      </w:r>
    </w:p>
    <w:p w14:paraId="355C1C54" w14:textId="233E2D8B" w:rsidR="00777391" w:rsidRPr="00E60E24" w:rsidRDefault="004062B8" w:rsidP="006E294A">
      <w:pPr>
        <w:numPr>
          <w:ilvl w:val="0"/>
          <w:numId w:val="5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Beta</w:t>
      </w:r>
      <w:r w:rsidR="00F61BA9" w:rsidRPr="00E60E24">
        <w:rPr>
          <w:rFonts w:ascii="Montserrat" w:hAnsi="Montserrat"/>
          <w:b/>
          <w:bCs/>
          <w:sz w:val="22"/>
          <w:szCs w:val="22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/>
            <w:sz w:val="22"/>
            <w:szCs w:val="22"/>
          </w:rPr>
          <m:t>(</m:t>
        </m:r>
        <m:r>
          <m:rPr>
            <m:sty m:val="bi"/>
          </m:rPr>
          <w:rPr>
            <w:rFonts w:ascii="Cambria Math" w:hAnsi="Cambria Math"/>
            <w:sz w:val="22"/>
            <w:szCs w:val="22"/>
          </w:rPr>
          <m:t>β)</m:t>
        </m:r>
      </m:oMath>
      <w:r w:rsidRPr="00E60E24">
        <w:rPr>
          <w:rFonts w:ascii="Montserrat" w:hAnsi="Montserrat"/>
          <w:b/>
          <w:bCs/>
          <w:sz w:val="22"/>
          <w:szCs w:val="22"/>
        </w:rPr>
        <w:t xml:space="preserve"> s/apalancamiento.</w:t>
      </w:r>
      <w:r w:rsidRPr="00E60E24">
        <w:rPr>
          <w:rFonts w:ascii="Montserrat" w:hAnsi="Montserrat"/>
          <w:sz w:val="22"/>
          <w:szCs w:val="22"/>
        </w:rPr>
        <w:t xml:space="preserve"> Es el coeficiente entre la tasa de rentabilidad del mercado y la tasa de rentabilidad del sector energético donde s</w:t>
      </w:r>
      <w:r w:rsidR="00581C77" w:rsidRPr="00E60E24">
        <w:rPr>
          <w:rFonts w:ascii="Montserrat" w:hAnsi="Montserrat"/>
          <w:sz w:val="22"/>
          <w:szCs w:val="22"/>
        </w:rPr>
        <w:t>ó</w:t>
      </w:r>
      <w:r w:rsidRPr="00E60E24">
        <w:rPr>
          <w:rFonts w:ascii="Montserrat" w:hAnsi="Montserrat"/>
          <w:sz w:val="22"/>
          <w:szCs w:val="22"/>
        </w:rPr>
        <w:t>lo afecta el capital.</w:t>
      </w:r>
    </w:p>
    <w:p w14:paraId="29B78B93" w14:textId="77777777" w:rsidR="00777391" w:rsidRPr="00E60E24" w:rsidRDefault="004062B8" w:rsidP="006E294A">
      <w:pPr>
        <w:numPr>
          <w:ilvl w:val="0"/>
          <w:numId w:val="5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Beta apalancada.</w:t>
      </w:r>
      <w:r w:rsidRPr="00E60E24">
        <w:rPr>
          <w:rFonts w:ascii="Montserrat" w:hAnsi="Montserrat"/>
          <w:sz w:val="22"/>
          <w:szCs w:val="22"/>
        </w:rPr>
        <w:t xml:space="preserve"> Es el coeficiente entre la tasa de rentabilidad del mercado y la tasa de rentabilidad del sector energético a partir del capital y el pasivo.</w:t>
      </w:r>
    </w:p>
    <w:p w14:paraId="01723DB4" w14:textId="68B51C0F" w:rsidR="00777391" w:rsidRPr="00E60E24" w:rsidRDefault="004062B8" w:rsidP="006E294A">
      <w:pPr>
        <w:numPr>
          <w:ilvl w:val="0"/>
          <w:numId w:val="5"/>
        </w:numPr>
        <w:jc w:val="both"/>
        <w:rPr>
          <w:rFonts w:ascii="Montserrat" w:hAnsi="Montserrat"/>
          <w:sz w:val="22"/>
          <w:szCs w:val="22"/>
        </w:rPr>
      </w:pPr>
      <w:proofErr w:type="spellStart"/>
      <w:r w:rsidRPr="00E60E24">
        <w:rPr>
          <w:rFonts w:ascii="Montserrat" w:hAnsi="Montserrat"/>
          <w:b/>
          <w:bCs/>
          <w:sz w:val="22"/>
          <w:szCs w:val="22"/>
        </w:rPr>
        <w:t>Tx</w:t>
      </w:r>
      <w:proofErr w:type="spellEnd"/>
      <w:r w:rsidRPr="00E60E24">
        <w:rPr>
          <w:rFonts w:ascii="Montserrat" w:hAnsi="Montserrat"/>
          <w:b/>
          <w:bCs/>
          <w:sz w:val="22"/>
          <w:szCs w:val="22"/>
        </w:rPr>
        <w:t>.</w:t>
      </w:r>
      <w:r w:rsidRPr="00E60E24">
        <w:rPr>
          <w:rFonts w:ascii="Montserrat" w:hAnsi="Montserrat"/>
          <w:sz w:val="22"/>
          <w:szCs w:val="22"/>
        </w:rPr>
        <w:t xml:space="preserve"> Tasa </w:t>
      </w:r>
      <w:r w:rsidR="002E4C43" w:rsidRPr="00E60E24">
        <w:rPr>
          <w:rFonts w:ascii="Montserrat" w:hAnsi="Montserrat"/>
          <w:sz w:val="22"/>
          <w:szCs w:val="22"/>
        </w:rPr>
        <w:t>e</w:t>
      </w:r>
      <w:r w:rsidRPr="00E60E24">
        <w:rPr>
          <w:rFonts w:ascii="Montserrat" w:hAnsi="Montserrat"/>
          <w:sz w:val="22"/>
          <w:szCs w:val="22"/>
        </w:rPr>
        <w:t xml:space="preserve">fectiva de </w:t>
      </w:r>
      <w:r w:rsidR="00837B48" w:rsidRPr="00E60E24">
        <w:rPr>
          <w:rFonts w:ascii="Montserrat" w:hAnsi="Montserrat"/>
          <w:sz w:val="22"/>
          <w:szCs w:val="22"/>
        </w:rPr>
        <w:t>i</w:t>
      </w:r>
      <w:r w:rsidRPr="00E60E24">
        <w:rPr>
          <w:rFonts w:ascii="Montserrat" w:hAnsi="Montserrat"/>
          <w:sz w:val="22"/>
          <w:szCs w:val="22"/>
        </w:rPr>
        <w:t>mpuestos pagado por las empresas del sector energético.</w:t>
      </w:r>
      <w:r w:rsidR="007F14F8" w:rsidRPr="00E60E24">
        <w:rPr>
          <w:rFonts w:ascii="Montserrat" w:hAnsi="Montserrat"/>
          <w:sz w:val="22"/>
          <w:szCs w:val="22"/>
        </w:rPr>
        <w:t xml:space="preserve"> El valor de la </w:t>
      </w:r>
      <w:r w:rsidR="002E4C43" w:rsidRPr="00E60E24">
        <w:rPr>
          <w:rFonts w:ascii="Montserrat" w:hAnsi="Montserrat"/>
          <w:sz w:val="22"/>
          <w:szCs w:val="22"/>
        </w:rPr>
        <w:t>t</w:t>
      </w:r>
      <w:r w:rsidR="007F14F8" w:rsidRPr="00E60E24">
        <w:rPr>
          <w:rFonts w:ascii="Montserrat" w:hAnsi="Montserrat"/>
          <w:sz w:val="22"/>
          <w:szCs w:val="22"/>
        </w:rPr>
        <w:t xml:space="preserve">asa efectiva de Impuestos obtuvo a través del promedio del pago efectivo de impuestos de las empresas del sector energético. </w:t>
      </w:r>
      <w:r w:rsidR="007F14F8" w:rsidRPr="00E60E24">
        <w:rPr>
          <w:rFonts w:ascii="Montserrat" w:hAnsi="Montserrat"/>
          <w:b/>
          <w:bCs/>
          <w:sz w:val="22"/>
          <w:szCs w:val="22"/>
        </w:rPr>
        <w:t xml:space="preserve">Tasa </w:t>
      </w:r>
      <w:r w:rsidR="00191457" w:rsidRPr="00E60E24">
        <w:rPr>
          <w:rFonts w:ascii="Montserrat" w:hAnsi="Montserrat"/>
          <w:b/>
          <w:bCs/>
          <w:sz w:val="22"/>
          <w:szCs w:val="22"/>
        </w:rPr>
        <w:t>e</w:t>
      </w:r>
      <w:r w:rsidR="007F14F8" w:rsidRPr="00E60E24">
        <w:rPr>
          <w:rFonts w:ascii="Montserrat" w:hAnsi="Montserrat"/>
          <w:b/>
          <w:bCs/>
          <w:sz w:val="22"/>
          <w:szCs w:val="22"/>
        </w:rPr>
        <w:t xml:space="preserve">fectiva de </w:t>
      </w:r>
      <w:r w:rsidR="00191457" w:rsidRPr="00E60E24">
        <w:rPr>
          <w:rFonts w:ascii="Montserrat" w:hAnsi="Montserrat"/>
          <w:b/>
          <w:bCs/>
          <w:sz w:val="22"/>
          <w:szCs w:val="22"/>
        </w:rPr>
        <w:t>i</w:t>
      </w:r>
      <w:r w:rsidR="007F14F8" w:rsidRPr="00E60E24">
        <w:rPr>
          <w:rFonts w:ascii="Montserrat" w:hAnsi="Montserrat"/>
          <w:b/>
          <w:bCs/>
          <w:sz w:val="22"/>
          <w:szCs w:val="22"/>
        </w:rPr>
        <w:t xml:space="preserve">mpuestos: </w:t>
      </w:r>
      <w:r w:rsidR="00566AD1" w:rsidRPr="00E60E24">
        <w:rPr>
          <w:rFonts w:ascii="Montserrat" w:hAnsi="Montserrat"/>
          <w:b/>
          <w:bCs/>
          <w:sz w:val="22"/>
          <w:szCs w:val="22"/>
        </w:rPr>
        <w:t>22.31</w:t>
      </w:r>
      <w:r w:rsidR="007F14F8" w:rsidRPr="00E60E24">
        <w:rPr>
          <w:rFonts w:ascii="Montserrat" w:hAnsi="Montserrat"/>
          <w:b/>
          <w:bCs/>
          <w:sz w:val="22"/>
          <w:szCs w:val="22"/>
        </w:rPr>
        <w:t>%</w:t>
      </w:r>
    </w:p>
    <w:p w14:paraId="04C6A22C" w14:textId="3F400292" w:rsidR="00275BC0" w:rsidRPr="00E60E24" w:rsidRDefault="004062B8" w:rsidP="006E294A">
      <w:pPr>
        <w:numPr>
          <w:ilvl w:val="0"/>
          <w:numId w:val="5"/>
        </w:num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Deuda/</w:t>
      </w:r>
      <w:r w:rsidR="00432186" w:rsidRPr="00E60E24">
        <w:rPr>
          <w:rFonts w:ascii="Montserrat" w:hAnsi="Montserrat"/>
          <w:b/>
          <w:bCs/>
          <w:sz w:val="22"/>
          <w:szCs w:val="22"/>
        </w:rPr>
        <w:t>c</w:t>
      </w:r>
      <w:r w:rsidRPr="00E60E24">
        <w:rPr>
          <w:rFonts w:ascii="Montserrat" w:hAnsi="Montserrat"/>
          <w:b/>
          <w:bCs/>
          <w:sz w:val="22"/>
          <w:szCs w:val="22"/>
        </w:rPr>
        <w:t>apital.</w:t>
      </w:r>
      <w:r w:rsidRPr="00E60E24">
        <w:rPr>
          <w:rFonts w:ascii="Montserrat" w:hAnsi="Montserrat"/>
          <w:sz w:val="22"/>
          <w:szCs w:val="22"/>
        </w:rPr>
        <w:t xml:space="preserve"> Razón entre el endeudamiento de la empresa y el capital invertido.</w:t>
      </w:r>
      <w:r w:rsidR="007F14F8" w:rsidRPr="00E60E24">
        <w:rPr>
          <w:rFonts w:ascii="Montserrat" w:hAnsi="Montserrat"/>
          <w:sz w:val="22"/>
          <w:szCs w:val="22"/>
        </w:rPr>
        <w:t xml:space="preserve"> El valor de la </w:t>
      </w:r>
      <w:r w:rsidR="00432186" w:rsidRPr="00E60E24">
        <w:rPr>
          <w:rFonts w:ascii="Montserrat" w:hAnsi="Montserrat"/>
          <w:sz w:val="22"/>
          <w:szCs w:val="22"/>
        </w:rPr>
        <w:t>d</w:t>
      </w:r>
      <w:r w:rsidR="007F14F8" w:rsidRPr="00E60E24">
        <w:rPr>
          <w:rFonts w:ascii="Montserrat" w:hAnsi="Montserrat"/>
          <w:sz w:val="22"/>
          <w:szCs w:val="22"/>
        </w:rPr>
        <w:t>euda/</w:t>
      </w:r>
      <w:r w:rsidR="00432186" w:rsidRPr="00E60E24">
        <w:rPr>
          <w:rFonts w:ascii="Montserrat" w:hAnsi="Montserrat"/>
          <w:sz w:val="22"/>
          <w:szCs w:val="22"/>
        </w:rPr>
        <w:t>c</w:t>
      </w:r>
      <w:r w:rsidR="007F14F8" w:rsidRPr="00E60E24">
        <w:rPr>
          <w:rFonts w:ascii="Montserrat" w:hAnsi="Montserrat"/>
          <w:sz w:val="22"/>
          <w:szCs w:val="22"/>
        </w:rPr>
        <w:t xml:space="preserve">apital se calculó por medio del promedio de las razones </w:t>
      </w:r>
      <w:r w:rsidR="00432186" w:rsidRPr="00E60E24">
        <w:rPr>
          <w:rFonts w:ascii="Montserrat" w:hAnsi="Montserrat"/>
          <w:sz w:val="22"/>
          <w:szCs w:val="22"/>
        </w:rPr>
        <w:t>d</w:t>
      </w:r>
      <w:r w:rsidR="007F14F8" w:rsidRPr="00E60E24">
        <w:rPr>
          <w:rFonts w:ascii="Montserrat" w:hAnsi="Montserrat"/>
          <w:sz w:val="22"/>
          <w:szCs w:val="22"/>
        </w:rPr>
        <w:t>euda/</w:t>
      </w:r>
      <w:r w:rsidR="00432186" w:rsidRPr="00E60E24">
        <w:rPr>
          <w:rFonts w:ascii="Montserrat" w:hAnsi="Montserrat"/>
          <w:sz w:val="22"/>
          <w:szCs w:val="22"/>
        </w:rPr>
        <w:t>c</w:t>
      </w:r>
      <w:r w:rsidR="007F14F8" w:rsidRPr="00E60E24">
        <w:rPr>
          <w:rFonts w:ascii="Montserrat" w:hAnsi="Montserrat"/>
          <w:sz w:val="22"/>
          <w:szCs w:val="22"/>
        </w:rPr>
        <w:t xml:space="preserve">apital de las empresas analizadas del sector energético. </w:t>
      </w:r>
      <w:r w:rsidR="007F14F8" w:rsidRPr="00E60E24">
        <w:rPr>
          <w:rFonts w:ascii="Montserrat" w:hAnsi="Montserrat"/>
          <w:b/>
          <w:bCs/>
          <w:sz w:val="22"/>
          <w:szCs w:val="22"/>
        </w:rPr>
        <w:t xml:space="preserve">Razón </w:t>
      </w:r>
      <w:r w:rsidR="00191457" w:rsidRPr="00E60E24">
        <w:rPr>
          <w:rFonts w:ascii="Montserrat" w:hAnsi="Montserrat"/>
          <w:b/>
          <w:bCs/>
          <w:sz w:val="22"/>
          <w:szCs w:val="22"/>
        </w:rPr>
        <w:t>d</w:t>
      </w:r>
      <w:r w:rsidR="007F14F8" w:rsidRPr="00E60E24">
        <w:rPr>
          <w:rFonts w:ascii="Montserrat" w:hAnsi="Montserrat"/>
          <w:b/>
          <w:bCs/>
          <w:sz w:val="22"/>
          <w:szCs w:val="22"/>
        </w:rPr>
        <w:t>euda/</w:t>
      </w:r>
      <w:r w:rsidR="00191457" w:rsidRPr="00E60E24">
        <w:rPr>
          <w:rFonts w:ascii="Montserrat" w:hAnsi="Montserrat"/>
          <w:b/>
          <w:bCs/>
          <w:sz w:val="22"/>
          <w:szCs w:val="22"/>
        </w:rPr>
        <w:t>ca</w:t>
      </w:r>
      <w:r w:rsidR="007F14F8" w:rsidRPr="00E60E24">
        <w:rPr>
          <w:rFonts w:ascii="Montserrat" w:hAnsi="Montserrat"/>
          <w:b/>
          <w:bCs/>
          <w:sz w:val="22"/>
          <w:szCs w:val="22"/>
        </w:rPr>
        <w:t xml:space="preserve">pital: </w:t>
      </w:r>
      <w:r w:rsidR="00566AD1" w:rsidRPr="00E60E24">
        <w:rPr>
          <w:rFonts w:ascii="Montserrat" w:hAnsi="Montserrat"/>
          <w:b/>
          <w:bCs/>
          <w:sz w:val="22"/>
          <w:szCs w:val="22"/>
        </w:rPr>
        <w:t>2.45</w:t>
      </w:r>
    </w:p>
    <w:p w14:paraId="2652F3DB" w14:textId="41AF28F6" w:rsidR="00275BC0" w:rsidRPr="00E60E24" w:rsidRDefault="007A0084" w:rsidP="006E294A">
      <w:pPr>
        <w:pStyle w:val="Textoindependiente"/>
        <w:jc w:val="both"/>
        <w:rPr>
          <w:rFonts w:ascii="Montserrat" w:hAnsi="Montserrat"/>
          <w:b/>
          <w:bCs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 xml:space="preserve">Resultado de la </w:t>
      </w:r>
      <w:r w:rsidR="00DE5314" w:rsidRPr="00E60E24">
        <w:rPr>
          <w:rFonts w:ascii="Montserrat" w:hAnsi="Montserrat"/>
          <w:b/>
          <w:bCs/>
          <w:sz w:val="22"/>
          <w:szCs w:val="22"/>
        </w:rPr>
        <w:t>b</w:t>
      </w:r>
      <w:r w:rsidR="00275BC0" w:rsidRPr="00E60E24">
        <w:rPr>
          <w:rFonts w:ascii="Montserrat" w:hAnsi="Montserrat"/>
          <w:b/>
          <w:bCs/>
          <w:sz w:val="22"/>
          <w:szCs w:val="22"/>
        </w:rPr>
        <w:t xml:space="preserve">eta sin </w:t>
      </w:r>
      <w:r w:rsidR="00DE5314" w:rsidRPr="00E60E24">
        <w:rPr>
          <w:rFonts w:ascii="Montserrat" w:hAnsi="Montserrat"/>
          <w:b/>
          <w:bCs/>
          <w:sz w:val="22"/>
          <w:szCs w:val="22"/>
        </w:rPr>
        <w:t>a</w:t>
      </w:r>
      <w:r w:rsidR="00275BC0" w:rsidRPr="00E60E24">
        <w:rPr>
          <w:rFonts w:ascii="Montserrat" w:hAnsi="Montserrat"/>
          <w:b/>
          <w:bCs/>
          <w:sz w:val="22"/>
          <w:szCs w:val="22"/>
        </w:rPr>
        <w:t xml:space="preserve">palancamiento: </w:t>
      </w:r>
      <w:r w:rsidR="00566AD1" w:rsidRPr="00E60E24">
        <w:rPr>
          <w:rFonts w:ascii="Montserrat" w:hAnsi="Montserrat"/>
          <w:b/>
          <w:bCs/>
          <w:sz w:val="22"/>
          <w:szCs w:val="22"/>
        </w:rPr>
        <w:t>0.66</w:t>
      </w:r>
    </w:p>
    <w:p w14:paraId="3ACFBDBB" w14:textId="77777777" w:rsidR="00F43515" w:rsidRPr="00E60E24" w:rsidRDefault="00F43515" w:rsidP="006E294A">
      <w:pPr>
        <w:pStyle w:val="Textoindependiente"/>
        <w:jc w:val="both"/>
        <w:rPr>
          <w:rFonts w:ascii="Montserrat" w:hAnsi="Montserrat"/>
          <w:b/>
          <w:bCs/>
          <w:sz w:val="22"/>
          <w:szCs w:val="22"/>
        </w:rPr>
      </w:pPr>
    </w:p>
    <w:p w14:paraId="4E15CD7A" w14:textId="7993D2B9" w:rsidR="00BB4609" w:rsidRPr="00E60E24" w:rsidRDefault="00BB4609" w:rsidP="00BB4609">
      <w:pPr>
        <w:pStyle w:val="Textoindependiente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>1.2.1.</w:t>
      </w:r>
      <w:r w:rsidR="00FC5170" w:rsidRPr="00E60E24">
        <w:rPr>
          <w:rFonts w:ascii="Montserrat" w:hAnsi="Montserrat"/>
          <w:b/>
          <w:bCs/>
          <w:sz w:val="22"/>
          <w:szCs w:val="22"/>
        </w:rPr>
        <w:t>3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. Cálculo de </w:t>
      </w:r>
      <w:r w:rsidR="00432186" w:rsidRPr="00E60E24">
        <w:rPr>
          <w:rFonts w:ascii="Montserrat" w:hAnsi="Montserrat"/>
          <w:b/>
          <w:bCs/>
          <w:sz w:val="22"/>
          <w:szCs w:val="22"/>
        </w:rPr>
        <w:t>b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eta de </w:t>
      </w:r>
      <w:r w:rsidR="00432186" w:rsidRPr="00E60E24">
        <w:rPr>
          <w:rFonts w:ascii="Montserrat" w:hAnsi="Montserrat"/>
          <w:b/>
          <w:bCs/>
          <w:sz w:val="22"/>
          <w:szCs w:val="22"/>
        </w:rPr>
        <w:t>c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apital con </w:t>
      </w:r>
      <w:r w:rsidR="00432186" w:rsidRPr="00E60E24">
        <w:rPr>
          <w:rFonts w:ascii="Montserrat" w:hAnsi="Montserrat"/>
          <w:b/>
          <w:bCs/>
          <w:sz w:val="22"/>
          <w:szCs w:val="22"/>
        </w:rPr>
        <w:t>r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iesgo </w:t>
      </w:r>
      <w:r w:rsidR="00432186" w:rsidRPr="00E60E24">
        <w:rPr>
          <w:rFonts w:ascii="Montserrat" w:hAnsi="Montserrat"/>
          <w:b/>
          <w:bCs/>
          <w:sz w:val="22"/>
          <w:szCs w:val="22"/>
        </w:rPr>
        <w:t>r</w:t>
      </w:r>
      <w:r w:rsidRPr="00E60E24">
        <w:rPr>
          <w:rFonts w:ascii="Montserrat" w:hAnsi="Montserrat"/>
          <w:b/>
          <w:bCs/>
          <w:sz w:val="22"/>
          <w:szCs w:val="22"/>
        </w:rPr>
        <w:t>egulatorio</w:t>
      </w:r>
    </w:p>
    <w:p w14:paraId="1882A873" w14:textId="77777777" w:rsidR="00F43515" w:rsidRPr="00E60E24" w:rsidRDefault="00F43515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</w:p>
    <w:p w14:paraId="6AF437EB" w14:textId="5CAE5C80" w:rsidR="00644681" w:rsidRPr="00E60E24" w:rsidRDefault="00644681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El esquema de regulación económica precio tope o </w:t>
      </w:r>
      <w:proofErr w:type="spellStart"/>
      <w:r w:rsidRPr="00E60E24">
        <w:rPr>
          <w:rFonts w:ascii="Montserrat" w:hAnsi="Montserrat"/>
          <w:sz w:val="22"/>
          <w:szCs w:val="22"/>
        </w:rPr>
        <w:t>price</w:t>
      </w:r>
      <w:proofErr w:type="spellEnd"/>
      <w:r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Pr="00E60E24">
        <w:rPr>
          <w:rFonts w:ascii="Montserrat" w:hAnsi="Montserrat"/>
          <w:sz w:val="22"/>
          <w:szCs w:val="22"/>
        </w:rPr>
        <w:t>cap</w:t>
      </w:r>
      <w:proofErr w:type="spellEnd"/>
      <w:r w:rsidRPr="00E60E24">
        <w:rPr>
          <w:rFonts w:ascii="Montserrat" w:hAnsi="Montserrat"/>
          <w:sz w:val="22"/>
          <w:szCs w:val="22"/>
        </w:rPr>
        <w:t xml:space="preserve"> conlleva un mayor riesgo, debido a que una empresa al no poder incrementar sus precios si sus costos se acrecientan, durante un periodo determinado, su rentabilidad disminuye. A diferencia del esquema de rentabilidad máxima, en el cual se ajustan los precios para mantener el nivel de rentabilidad. Este mayor riesgo se </w:t>
      </w:r>
      <w:r w:rsidRPr="00E60E24">
        <w:rPr>
          <w:rFonts w:ascii="Montserrat" w:hAnsi="Montserrat"/>
          <w:sz w:val="22"/>
          <w:szCs w:val="22"/>
        </w:rPr>
        <w:lastRenderedPageBreak/>
        <w:t xml:space="preserve">reconoce como elemento de la </w:t>
      </w:r>
      <w:r w:rsidR="00F43515" w:rsidRPr="00E60E24">
        <w:rPr>
          <w:rFonts w:ascii="Montserrat" w:hAnsi="Montserrat"/>
          <w:sz w:val="22"/>
          <w:szCs w:val="22"/>
        </w:rPr>
        <w:t>B</w:t>
      </w:r>
      <w:r w:rsidRPr="00E60E24">
        <w:rPr>
          <w:rFonts w:ascii="Montserrat" w:hAnsi="Montserrat"/>
          <w:sz w:val="22"/>
          <w:szCs w:val="22"/>
        </w:rPr>
        <w:t xml:space="preserve">eta (Alexander e Irwin, 1996; </w:t>
      </w:r>
      <w:proofErr w:type="spellStart"/>
      <w:r w:rsidRPr="00E60E24">
        <w:rPr>
          <w:rFonts w:ascii="Montserrat" w:hAnsi="Montserrat"/>
          <w:sz w:val="22"/>
          <w:szCs w:val="22"/>
        </w:rPr>
        <w:t>Economic</w:t>
      </w:r>
      <w:proofErr w:type="spellEnd"/>
      <w:r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Pr="00E60E24">
        <w:rPr>
          <w:rFonts w:ascii="Montserrat" w:hAnsi="Montserrat"/>
          <w:sz w:val="22"/>
          <w:szCs w:val="22"/>
        </w:rPr>
        <w:t>Consulting</w:t>
      </w:r>
      <w:proofErr w:type="spellEnd"/>
      <w:r w:rsidRPr="00E60E24">
        <w:rPr>
          <w:rFonts w:ascii="Montserrat" w:hAnsi="Montserrat"/>
          <w:sz w:val="22"/>
          <w:szCs w:val="22"/>
        </w:rPr>
        <w:t xml:space="preserve"> </w:t>
      </w:r>
      <w:proofErr w:type="spellStart"/>
      <w:r w:rsidRPr="00E60E24">
        <w:rPr>
          <w:rFonts w:ascii="Montserrat" w:hAnsi="Montserrat"/>
          <w:sz w:val="22"/>
          <w:szCs w:val="22"/>
        </w:rPr>
        <w:t>Associates</w:t>
      </w:r>
      <w:proofErr w:type="spellEnd"/>
      <w:r w:rsidRPr="00E60E24">
        <w:rPr>
          <w:rFonts w:ascii="Montserrat" w:hAnsi="Montserrat"/>
          <w:sz w:val="22"/>
          <w:szCs w:val="22"/>
        </w:rPr>
        <w:t>, 2018)</w:t>
      </w:r>
      <w:r w:rsidR="00F43515" w:rsidRPr="00E60E24">
        <w:rPr>
          <w:rFonts w:ascii="Montserrat" w:hAnsi="Montserrat"/>
          <w:sz w:val="22"/>
          <w:szCs w:val="22"/>
        </w:rPr>
        <w:t>.</w:t>
      </w:r>
    </w:p>
    <w:p w14:paraId="79BFB561" w14:textId="772A4FF0" w:rsidR="00275BC0" w:rsidRPr="00E60E24" w:rsidRDefault="00644681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El valor reconocido para </w:t>
      </w:r>
      <w:r w:rsidR="00F43515" w:rsidRPr="00E60E24">
        <w:rPr>
          <w:rFonts w:ascii="Montserrat" w:hAnsi="Montserrat"/>
          <w:sz w:val="22"/>
          <w:szCs w:val="22"/>
        </w:rPr>
        <w:t xml:space="preserve">el </w:t>
      </w:r>
      <w:r w:rsidR="00432186" w:rsidRPr="00E60E24">
        <w:rPr>
          <w:rFonts w:ascii="Montserrat" w:hAnsi="Montserrat"/>
          <w:sz w:val="22"/>
          <w:szCs w:val="22"/>
        </w:rPr>
        <w:t>r</w:t>
      </w:r>
      <w:r w:rsidR="00F43515" w:rsidRPr="00E60E24">
        <w:rPr>
          <w:rFonts w:ascii="Montserrat" w:hAnsi="Montserrat"/>
          <w:sz w:val="22"/>
          <w:szCs w:val="22"/>
        </w:rPr>
        <w:t xml:space="preserve">iesgo </w:t>
      </w:r>
      <w:r w:rsidR="00432186" w:rsidRPr="00E60E24">
        <w:rPr>
          <w:rFonts w:ascii="Montserrat" w:hAnsi="Montserrat"/>
          <w:sz w:val="22"/>
          <w:szCs w:val="22"/>
        </w:rPr>
        <w:t>r</w:t>
      </w:r>
      <w:r w:rsidR="00F43515" w:rsidRPr="00E60E24">
        <w:rPr>
          <w:rFonts w:ascii="Montserrat" w:hAnsi="Montserrat"/>
          <w:sz w:val="22"/>
          <w:szCs w:val="22"/>
        </w:rPr>
        <w:t>egulatorio</w:t>
      </w:r>
      <w:r w:rsidRPr="00E60E24">
        <w:rPr>
          <w:rFonts w:ascii="Montserrat" w:hAnsi="Montserrat"/>
          <w:sz w:val="22"/>
          <w:szCs w:val="22"/>
        </w:rPr>
        <w:t xml:space="preserve"> es 0.2. La Comisión utiliza como fuente el resultado obtenido por </w:t>
      </w:r>
      <w:proofErr w:type="spellStart"/>
      <w:r w:rsidRPr="00E60E24">
        <w:rPr>
          <w:rFonts w:ascii="Montserrat" w:hAnsi="Montserrat"/>
          <w:sz w:val="22"/>
          <w:szCs w:val="22"/>
        </w:rPr>
        <w:t>H</w:t>
      </w:r>
      <w:r w:rsidR="008007E8" w:rsidRPr="00E60E24">
        <w:rPr>
          <w:rFonts w:ascii="Montserrat" w:hAnsi="Montserrat"/>
          <w:sz w:val="22"/>
          <w:szCs w:val="22"/>
        </w:rPr>
        <w:t>etherington</w:t>
      </w:r>
      <w:proofErr w:type="spellEnd"/>
      <w:r w:rsidR="008007E8" w:rsidRPr="00E60E24">
        <w:rPr>
          <w:rStyle w:val="Refdenotaalpie"/>
          <w:rFonts w:ascii="Montserrat" w:hAnsi="Montserrat"/>
          <w:sz w:val="22"/>
          <w:szCs w:val="22"/>
        </w:rPr>
        <w:footnoteReference w:id="3"/>
      </w:r>
      <w:r w:rsidR="00F43515" w:rsidRPr="00E60E24">
        <w:rPr>
          <w:rFonts w:ascii="Montserrat" w:hAnsi="Montserrat"/>
          <w:sz w:val="22"/>
          <w:szCs w:val="22"/>
        </w:rPr>
        <w:t xml:space="preserve">, mismo que </w:t>
      </w:r>
      <w:r w:rsidR="00FB5B62" w:rsidRPr="00E60E24">
        <w:rPr>
          <w:rFonts w:ascii="Montserrat" w:hAnsi="Montserrat"/>
          <w:sz w:val="22"/>
          <w:szCs w:val="22"/>
        </w:rPr>
        <w:t xml:space="preserve">al sumarlo a la </w:t>
      </w:r>
      <w:r w:rsidR="007E3337" w:rsidRPr="00E60E24">
        <w:rPr>
          <w:rFonts w:ascii="Montserrat" w:hAnsi="Montserrat"/>
          <w:sz w:val="22"/>
          <w:szCs w:val="22"/>
        </w:rPr>
        <w:t>b</w:t>
      </w:r>
      <w:r w:rsidR="00FB5B62" w:rsidRPr="00E60E24">
        <w:rPr>
          <w:rFonts w:ascii="Montserrat" w:hAnsi="Montserrat"/>
          <w:sz w:val="22"/>
          <w:szCs w:val="22"/>
        </w:rPr>
        <w:t xml:space="preserve">eta sin apalancamiento, se obtiene como resultado </w:t>
      </w:r>
      <w:r w:rsidR="00566AD1" w:rsidRPr="00E60E24">
        <w:rPr>
          <w:rFonts w:ascii="Montserrat" w:hAnsi="Montserrat"/>
          <w:sz w:val="22"/>
          <w:szCs w:val="22"/>
        </w:rPr>
        <w:t>0.86</w:t>
      </w:r>
      <w:r w:rsidR="00FB5B62" w:rsidRPr="00E60E24">
        <w:rPr>
          <w:rFonts w:ascii="Montserrat" w:hAnsi="Montserrat"/>
          <w:sz w:val="22"/>
          <w:szCs w:val="22"/>
        </w:rPr>
        <w:t>.</w:t>
      </w:r>
    </w:p>
    <w:p w14:paraId="238E4D55" w14:textId="4653D4E2" w:rsidR="006E294A" w:rsidRPr="00E60E24" w:rsidRDefault="00275BC0" w:rsidP="006E294A">
      <w:pPr>
        <w:pStyle w:val="Textoindependiente"/>
        <w:jc w:val="both"/>
        <w:rPr>
          <w:rFonts w:ascii="Montserrat" w:hAnsi="Montserrat"/>
          <w:b/>
          <w:bCs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 xml:space="preserve">Beta de </w:t>
      </w:r>
      <w:r w:rsidR="00432186" w:rsidRPr="00E60E24">
        <w:rPr>
          <w:rFonts w:ascii="Montserrat" w:hAnsi="Montserrat"/>
          <w:b/>
          <w:bCs/>
          <w:sz w:val="22"/>
          <w:szCs w:val="22"/>
        </w:rPr>
        <w:t>c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apital con </w:t>
      </w:r>
      <w:r w:rsidR="00432186" w:rsidRPr="00E60E24">
        <w:rPr>
          <w:rFonts w:ascii="Montserrat" w:hAnsi="Montserrat"/>
          <w:b/>
          <w:bCs/>
          <w:sz w:val="22"/>
          <w:szCs w:val="22"/>
        </w:rPr>
        <w:t>r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iesgo </w:t>
      </w:r>
      <w:r w:rsidR="00432186" w:rsidRPr="00E60E24">
        <w:rPr>
          <w:rFonts w:ascii="Montserrat" w:hAnsi="Montserrat"/>
          <w:b/>
          <w:bCs/>
          <w:sz w:val="22"/>
          <w:szCs w:val="22"/>
        </w:rPr>
        <w:t>r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egulatorio: </w:t>
      </w:r>
      <w:r w:rsidR="00566AD1" w:rsidRPr="00E60E24">
        <w:rPr>
          <w:rFonts w:ascii="Montserrat" w:hAnsi="Montserrat"/>
          <w:b/>
          <w:bCs/>
          <w:sz w:val="22"/>
          <w:szCs w:val="22"/>
        </w:rPr>
        <w:t>0.86</w:t>
      </w:r>
    </w:p>
    <w:p w14:paraId="5AD10E27" w14:textId="77777777" w:rsidR="00275BC0" w:rsidRPr="00E60E24" w:rsidRDefault="00275BC0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</w:p>
    <w:p w14:paraId="02573160" w14:textId="191AC3BC" w:rsidR="00777391" w:rsidRPr="00E60E24" w:rsidRDefault="004062B8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Una vez obtenida la </w:t>
      </w:r>
      <w:r w:rsidR="00432186" w:rsidRPr="00E60E24">
        <w:rPr>
          <w:rFonts w:ascii="Montserrat" w:hAnsi="Montserrat"/>
          <w:sz w:val="22"/>
          <w:szCs w:val="22"/>
        </w:rPr>
        <w:t>b</w:t>
      </w:r>
      <w:r w:rsidRPr="00E60E24">
        <w:rPr>
          <w:rFonts w:ascii="Montserrat" w:hAnsi="Montserrat"/>
          <w:sz w:val="22"/>
          <w:szCs w:val="22"/>
        </w:rPr>
        <w:t xml:space="preserve">eta del análisis, se </w:t>
      </w:r>
      <w:r w:rsidR="00FB5B62" w:rsidRPr="00E60E24">
        <w:rPr>
          <w:rFonts w:ascii="Montserrat" w:hAnsi="Montserrat"/>
          <w:sz w:val="22"/>
          <w:szCs w:val="22"/>
        </w:rPr>
        <w:t>determina</w:t>
      </w:r>
      <w:r w:rsidRPr="00E60E24">
        <w:rPr>
          <w:rFonts w:ascii="Montserrat" w:hAnsi="Montserrat"/>
          <w:sz w:val="22"/>
          <w:szCs w:val="22"/>
        </w:rPr>
        <w:t xml:space="preserve"> la tasa de rentabilidad de mercado y la tasa de rentabilidad libre de riesgo.</w:t>
      </w:r>
    </w:p>
    <w:p w14:paraId="6A479280" w14:textId="77777777" w:rsidR="006E294A" w:rsidRPr="00E60E24" w:rsidRDefault="006E294A" w:rsidP="006E294A">
      <w:pPr>
        <w:pStyle w:val="Textoindependiente"/>
        <w:jc w:val="both"/>
        <w:rPr>
          <w:rFonts w:ascii="Montserrat" w:hAnsi="Montserrat"/>
          <w:sz w:val="22"/>
          <w:szCs w:val="22"/>
        </w:rPr>
      </w:pPr>
    </w:p>
    <w:p w14:paraId="660DDF27" w14:textId="1FF6BDCE" w:rsidR="00777391" w:rsidRPr="00E60E24" w:rsidRDefault="00890BFE" w:rsidP="006E294A">
      <w:pPr>
        <w:pStyle w:val="Ttulo4"/>
        <w:jc w:val="both"/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</w:pPr>
      <w:bookmarkStart w:id="11" w:name="tasa-rentabilidad-de-mercado."/>
      <w:bookmarkEnd w:id="10"/>
      <w:r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1.2.2. Tasa de rentabilidad de mercado.</w:t>
      </w:r>
    </w:p>
    <w:p w14:paraId="3D36CC9D" w14:textId="02FD0EBB" w:rsidR="00777391" w:rsidRPr="00E60E24" w:rsidRDefault="00FB5B62" w:rsidP="006E294A">
      <w:pPr>
        <w:pStyle w:val="FirstParagraph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De acuerdo c</w:t>
      </w:r>
      <w:r w:rsidR="004062B8" w:rsidRPr="00E60E24">
        <w:rPr>
          <w:rFonts w:ascii="Montserrat" w:hAnsi="Montserrat"/>
          <w:sz w:val="22"/>
          <w:szCs w:val="22"/>
        </w:rPr>
        <w:t xml:space="preserve">on </w:t>
      </w:r>
      <w:r w:rsidR="00FC5170" w:rsidRPr="00E60E24">
        <w:rPr>
          <w:rFonts w:ascii="Montserrat" w:hAnsi="Montserrat"/>
          <w:sz w:val="22"/>
          <w:szCs w:val="22"/>
        </w:rPr>
        <w:t xml:space="preserve">el </w:t>
      </w:r>
      <w:r w:rsidRPr="00E60E24">
        <w:rPr>
          <w:rFonts w:ascii="Montserrat" w:hAnsi="Montserrat"/>
          <w:sz w:val="22"/>
          <w:szCs w:val="22"/>
        </w:rPr>
        <w:t>comportamiento de la tasa de rentabilidad del mercado</w:t>
      </w:r>
      <w:r w:rsidR="00FC5170" w:rsidRPr="00E60E24">
        <w:rPr>
          <w:rFonts w:ascii="Montserrat" w:hAnsi="Montserrat"/>
          <w:sz w:val="22"/>
          <w:szCs w:val="22"/>
        </w:rPr>
        <w:t>, en el periodo 199</w:t>
      </w:r>
      <w:r w:rsidR="00566AD1" w:rsidRPr="00E60E24">
        <w:rPr>
          <w:rFonts w:ascii="Montserrat" w:hAnsi="Montserrat"/>
          <w:sz w:val="22"/>
          <w:szCs w:val="22"/>
        </w:rPr>
        <w:t>3</w:t>
      </w:r>
      <w:r w:rsidR="00FC5170" w:rsidRPr="00E60E24">
        <w:rPr>
          <w:rFonts w:ascii="Montserrat" w:hAnsi="Montserrat"/>
          <w:sz w:val="22"/>
          <w:szCs w:val="22"/>
        </w:rPr>
        <w:t>-202</w:t>
      </w:r>
      <w:r w:rsidR="00566AD1" w:rsidRPr="00E60E24">
        <w:rPr>
          <w:rFonts w:ascii="Montserrat" w:hAnsi="Montserrat"/>
          <w:sz w:val="22"/>
          <w:szCs w:val="22"/>
        </w:rPr>
        <w:t>2</w:t>
      </w:r>
      <w:r w:rsidR="004062B8" w:rsidRPr="00E60E24">
        <w:rPr>
          <w:rFonts w:ascii="Montserrat" w:hAnsi="Montserrat"/>
          <w:sz w:val="22"/>
          <w:szCs w:val="22"/>
        </w:rPr>
        <w:t xml:space="preserve"> se obt</w:t>
      </w:r>
      <w:r w:rsidR="008A001B" w:rsidRPr="00E60E24">
        <w:rPr>
          <w:rFonts w:ascii="Montserrat" w:hAnsi="Montserrat"/>
          <w:sz w:val="22"/>
          <w:szCs w:val="22"/>
        </w:rPr>
        <w:t>uvo</w:t>
      </w:r>
      <w:r w:rsidR="004062B8" w:rsidRPr="00E60E24">
        <w:rPr>
          <w:rFonts w:ascii="Montserrat" w:hAnsi="Montserrat"/>
          <w:sz w:val="22"/>
          <w:szCs w:val="22"/>
        </w:rPr>
        <w:t xml:space="preserve"> </w:t>
      </w:r>
      <w:r w:rsidRPr="00E60E24">
        <w:rPr>
          <w:rFonts w:ascii="Montserrat" w:hAnsi="Montserrat"/>
          <w:sz w:val="22"/>
          <w:szCs w:val="22"/>
        </w:rPr>
        <w:t>el</w:t>
      </w:r>
      <w:r w:rsidR="004062B8" w:rsidRPr="00E60E24">
        <w:rPr>
          <w:rFonts w:ascii="Montserrat" w:hAnsi="Montserrat"/>
          <w:sz w:val="22"/>
          <w:szCs w:val="22"/>
        </w:rPr>
        <w:t xml:space="preserve"> promedio, </w:t>
      </w:r>
      <w:r w:rsidR="008A001B" w:rsidRPr="00E60E24">
        <w:rPr>
          <w:rFonts w:ascii="Montserrat" w:hAnsi="Montserrat"/>
          <w:sz w:val="22"/>
          <w:szCs w:val="22"/>
        </w:rPr>
        <w:t>que da como resultado:</w:t>
      </w:r>
    </w:p>
    <w:p w14:paraId="7CCBE402" w14:textId="157A3465" w:rsidR="006E294A" w:rsidRPr="00E60E24" w:rsidRDefault="00275BC0" w:rsidP="006E294A">
      <w:pPr>
        <w:pStyle w:val="Textoindependiente"/>
        <w:rPr>
          <w:rFonts w:ascii="Montserrat" w:hAnsi="Montserrat"/>
          <w:b/>
          <w:bCs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 xml:space="preserve">Tasa de </w:t>
      </w:r>
      <w:r w:rsidR="00432186" w:rsidRPr="00E60E24">
        <w:rPr>
          <w:rFonts w:ascii="Montserrat" w:hAnsi="Montserrat"/>
          <w:b/>
          <w:bCs/>
          <w:sz w:val="22"/>
          <w:szCs w:val="22"/>
        </w:rPr>
        <w:t>r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entabilidad de </w:t>
      </w:r>
      <w:r w:rsidR="00432186" w:rsidRPr="00E60E24">
        <w:rPr>
          <w:rFonts w:ascii="Montserrat" w:hAnsi="Montserrat"/>
          <w:b/>
          <w:bCs/>
          <w:sz w:val="22"/>
          <w:szCs w:val="22"/>
        </w:rPr>
        <w:t>m</w:t>
      </w:r>
      <w:r w:rsidRPr="00E60E24">
        <w:rPr>
          <w:rFonts w:ascii="Montserrat" w:hAnsi="Montserrat"/>
          <w:b/>
          <w:bCs/>
          <w:sz w:val="22"/>
          <w:szCs w:val="22"/>
        </w:rPr>
        <w:t>ercado: 1</w:t>
      </w:r>
      <w:r w:rsidR="00EA2769" w:rsidRPr="00E60E24">
        <w:rPr>
          <w:rFonts w:ascii="Montserrat" w:hAnsi="Montserrat"/>
          <w:b/>
          <w:bCs/>
          <w:sz w:val="22"/>
          <w:szCs w:val="22"/>
        </w:rPr>
        <w:t>1</w:t>
      </w:r>
      <w:r w:rsidRPr="00E60E24">
        <w:rPr>
          <w:rFonts w:ascii="Montserrat" w:hAnsi="Montserrat"/>
          <w:b/>
          <w:bCs/>
          <w:sz w:val="22"/>
          <w:szCs w:val="22"/>
        </w:rPr>
        <w:t>.</w:t>
      </w:r>
      <w:r w:rsidR="00566AD1" w:rsidRPr="00E60E24">
        <w:rPr>
          <w:rFonts w:ascii="Montserrat" w:hAnsi="Montserrat"/>
          <w:b/>
          <w:bCs/>
          <w:sz w:val="22"/>
          <w:szCs w:val="22"/>
        </w:rPr>
        <w:t>43</w:t>
      </w:r>
      <w:r w:rsidRPr="00E60E24">
        <w:rPr>
          <w:rFonts w:ascii="Montserrat" w:hAnsi="Montserrat"/>
          <w:b/>
          <w:bCs/>
          <w:sz w:val="22"/>
          <w:szCs w:val="22"/>
        </w:rPr>
        <w:t>%</w:t>
      </w:r>
    </w:p>
    <w:p w14:paraId="2C902735" w14:textId="77777777" w:rsidR="00D04C52" w:rsidRPr="00E60E24" w:rsidRDefault="00D04C52" w:rsidP="00275BC0">
      <w:pPr>
        <w:pStyle w:val="Ttulo4"/>
        <w:jc w:val="both"/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</w:pPr>
    </w:p>
    <w:p w14:paraId="5A418FB8" w14:textId="72715BD6" w:rsidR="00275BC0" w:rsidRPr="00E60E24" w:rsidRDefault="00890BFE" w:rsidP="00275BC0">
      <w:pPr>
        <w:pStyle w:val="Ttulo4"/>
        <w:jc w:val="both"/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</w:pPr>
      <w:r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1.2.3. Tasa libre de riesgo.</w:t>
      </w:r>
    </w:p>
    <w:p w14:paraId="64675F73" w14:textId="5AD83BB6" w:rsidR="006E294A" w:rsidRPr="00E60E24" w:rsidRDefault="006E294A" w:rsidP="006E294A">
      <w:pPr>
        <w:jc w:val="both"/>
        <w:rPr>
          <w:rFonts w:ascii="Montserrat" w:hAnsi="Montserrat"/>
          <w:sz w:val="22"/>
          <w:szCs w:val="22"/>
        </w:rPr>
      </w:pPr>
    </w:p>
    <w:p w14:paraId="230490AF" w14:textId="2DF2BBF9" w:rsidR="00C55E14" w:rsidRPr="00E60E24" w:rsidRDefault="00275BC0" w:rsidP="006E294A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Para la tasa </w:t>
      </w:r>
      <w:r w:rsidR="006D5C4A" w:rsidRPr="00E60E24">
        <w:rPr>
          <w:rFonts w:ascii="Montserrat" w:hAnsi="Montserrat"/>
          <w:sz w:val="22"/>
          <w:szCs w:val="22"/>
        </w:rPr>
        <w:t xml:space="preserve">libre de riesgo se utilizó la tasa de rendimiento de los bonos </w:t>
      </w:r>
      <w:r w:rsidR="00877B7D" w:rsidRPr="00E60E24">
        <w:rPr>
          <w:rFonts w:ascii="Montserrat" w:hAnsi="Montserrat"/>
          <w:sz w:val="22"/>
          <w:szCs w:val="22"/>
        </w:rPr>
        <w:t>de la</w:t>
      </w:r>
      <w:r w:rsidR="008A001B" w:rsidRPr="00E60E24">
        <w:rPr>
          <w:rFonts w:ascii="Montserrat" w:hAnsi="Montserrat"/>
          <w:sz w:val="22"/>
          <w:szCs w:val="22"/>
        </w:rPr>
        <w:t xml:space="preserve"> Reserva Federal de Estados Unidos</w:t>
      </w:r>
      <w:r w:rsidR="00877B7D" w:rsidRPr="00E60E24">
        <w:rPr>
          <w:rFonts w:ascii="Montserrat" w:hAnsi="Montserrat"/>
          <w:sz w:val="22"/>
          <w:szCs w:val="22"/>
        </w:rPr>
        <w:t xml:space="preserve"> </w:t>
      </w:r>
      <w:r w:rsidR="006D5C4A" w:rsidRPr="00E60E24">
        <w:rPr>
          <w:rFonts w:ascii="Montserrat" w:hAnsi="Montserrat"/>
          <w:sz w:val="22"/>
          <w:szCs w:val="22"/>
        </w:rPr>
        <w:t>a 30</w:t>
      </w:r>
      <w:r w:rsidR="0012232D" w:rsidRPr="00E60E24">
        <w:rPr>
          <w:rFonts w:ascii="Montserrat" w:hAnsi="Montserrat"/>
          <w:sz w:val="22"/>
          <w:szCs w:val="22"/>
        </w:rPr>
        <w:t xml:space="preserve"> (treinta)</w:t>
      </w:r>
      <w:r w:rsidR="006D5C4A" w:rsidRPr="00E60E24">
        <w:rPr>
          <w:rFonts w:ascii="Montserrat" w:hAnsi="Montserrat"/>
          <w:sz w:val="22"/>
          <w:szCs w:val="22"/>
        </w:rPr>
        <w:t xml:space="preserve"> años</w:t>
      </w:r>
      <w:r w:rsidR="009F66A9" w:rsidRPr="00E60E24">
        <w:rPr>
          <w:rFonts w:ascii="Montserrat" w:hAnsi="Montserrat"/>
          <w:sz w:val="22"/>
          <w:szCs w:val="22"/>
        </w:rPr>
        <w:t>. E</w:t>
      </w:r>
      <w:r w:rsidR="00877B7D" w:rsidRPr="00E60E24">
        <w:rPr>
          <w:rFonts w:ascii="Montserrat" w:hAnsi="Montserrat"/>
          <w:sz w:val="22"/>
          <w:szCs w:val="22"/>
        </w:rPr>
        <w:t xml:space="preserve">n particular se </w:t>
      </w:r>
      <w:r w:rsidR="008A001B" w:rsidRPr="00E60E24">
        <w:rPr>
          <w:rFonts w:ascii="Montserrat" w:hAnsi="Montserrat"/>
          <w:sz w:val="22"/>
          <w:szCs w:val="22"/>
        </w:rPr>
        <w:t>usó</w:t>
      </w:r>
      <w:r w:rsidR="00877B7D" w:rsidRPr="00E60E24">
        <w:rPr>
          <w:rFonts w:ascii="Montserrat" w:hAnsi="Montserrat"/>
          <w:sz w:val="22"/>
          <w:szCs w:val="22"/>
        </w:rPr>
        <w:t xml:space="preserve"> este activo debido a que </w:t>
      </w:r>
      <w:r w:rsidR="009F66A9" w:rsidRPr="00E60E24">
        <w:rPr>
          <w:rFonts w:ascii="Montserrat" w:hAnsi="Montserrat"/>
          <w:sz w:val="22"/>
          <w:szCs w:val="22"/>
        </w:rPr>
        <w:t xml:space="preserve">la tasa de rentabilidad </w:t>
      </w:r>
      <w:r w:rsidR="00C55E14" w:rsidRPr="00E60E24">
        <w:rPr>
          <w:rFonts w:ascii="Montserrat" w:hAnsi="Montserrat"/>
          <w:sz w:val="22"/>
          <w:szCs w:val="22"/>
        </w:rPr>
        <w:t xml:space="preserve">es representativa para el análisis. </w:t>
      </w:r>
    </w:p>
    <w:p w14:paraId="0F3CCB41" w14:textId="379D88DC" w:rsidR="00C55E14" w:rsidRPr="00E60E24" w:rsidRDefault="00C55E14" w:rsidP="006E294A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Al final con los datos presentados, el promedio de la </w:t>
      </w:r>
      <w:r w:rsidR="009E21B9" w:rsidRPr="00E60E24">
        <w:rPr>
          <w:rFonts w:ascii="Montserrat" w:hAnsi="Montserrat"/>
          <w:sz w:val="22"/>
          <w:szCs w:val="22"/>
        </w:rPr>
        <w:t>t</w:t>
      </w:r>
      <w:r w:rsidRPr="00E60E24">
        <w:rPr>
          <w:rFonts w:ascii="Montserrat" w:hAnsi="Montserrat"/>
          <w:sz w:val="22"/>
          <w:szCs w:val="22"/>
        </w:rPr>
        <w:t xml:space="preserve">asa </w:t>
      </w:r>
      <w:r w:rsidR="009E21B9" w:rsidRPr="00E60E24">
        <w:rPr>
          <w:rFonts w:ascii="Montserrat" w:hAnsi="Montserrat"/>
          <w:sz w:val="22"/>
          <w:szCs w:val="22"/>
        </w:rPr>
        <w:t>l</w:t>
      </w:r>
      <w:r w:rsidRPr="00E60E24">
        <w:rPr>
          <w:rFonts w:ascii="Montserrat" w:hAnsi="Montserrat"/>
          <w:sz w:val="22"/>
          <w:szCs w:val="22"/>
        </w:rPr>
        <w:t xml:space="preserve">ibre de </w:t>
      </w:r>
      <w:r w:rsidR="009E21B9" w:rsidRPr="00E60E24">
        <w:rPr>
          <w:rFonts w:ascii="Montserrat" w:hAnsi="Montserrat"/>
          <w:sz w:val="22"/>
          <w:szCs w:val="22"/>
        </w:rPr>
        <w:t>r</w:t>
      </w:r>
      <w:r w:rsidRPr="00E60E24">
        <w:rPr>
          <w:rFonts w:ascii="Montserrat" w:hAnsi="Montserrat"/>
          <w:sz w:val="22"/>
          <w:szCs w:val="22"/>
        </w:rPr>
        <w:t>iesgo</w:t>
      </w:r>
      <w:r w:rsidR="008A001B" w:rsidRPr="00E60E24">
        <w:rPr>
          <w:rFonts w:ascii="Montserrat" w:hAnsi="Montserrat"/>
          <w:sz w:val="22"/>
          <w:szCs w:val="22"/>
        </w:rPr>
        <w:t xml:space="preserve"> es</w:t>
      </w:r>
      <w:r w:rsidR="00985CA0" w:rsidRPr="00E60E24">
        <w:rPr>
          <w:rFonts w:ascii="Montserrat" w:hAnsi="Montserrat"/>
          <w:sz w:val="22"/>
          <w:szCs w:val="22"/>
        </w:rPr>
        <w:t>:</w:t>
      </w:r>
    </w:p>
    <w:p w14:paraId="333BC1E7" w14:textId="4FC6A629" w:rsidR="00C55E14" w:rsidRPr="00E60E24" w:rsidRDefault="00C55E14" w:rsidP="006E294A">
      <w:pPr>
        <w:jc w:val="both"/>
        <w:rPr>
          <w:rFonts w:ascii="Montserrat" w:hAnsi="Montserrat"/>
          <w:b/>
          <w:bCs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 xml:space="preserve">Tasa </w:t>
      </w:r>
      <w:r w:rsidR="009E21B9" w:rsidRPr="00E60E24">
        <w:rPr>
          <w:rFonts w:ascii="Montserrat" w:hAnsi="Montserrat"/>
          <w:b/>
          <w:bCs/>
          <w:sz w:val="22"/>
          <w:szCs w:val="22"/>
        </w:rPr>
        <w:t>l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ibre de </w:t>
      </w:r>
      <w:r w:rsidR="009E21B9" w:rsidRPr="00E60E24">
        <w:rPr>
          <w:rFonts w:ascii="Montserrat" w:hAnsi="Montserrat"/>
          <w:b/>
          <w:bCs/>
          <w:sz w:val="22"/>
          <w:szCs w:val="22"/>
        </w:rPr>
        <w:t>r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iesgo. </w:t>
      </w:r>
      <w:r w:rsidR="00EA2769" w:rsidRPr="00E60E24">
        <w:rPr>
          <w:rFonts w:ascii="Montserrat" w:hAnsi="Montserrat"/>
          <w:b/>
          <w:bCs/>
          <w:sz w:val="22"/>
          <w:szCs w:val="22"/>
        </w:rPr>
        <w:t>4</w:t>
      </w:r>
      <w:r w:rsidRPr="00E60E24">
        <w:rPr>
          <w:rFonts w:ascii="Montserrat" w:hAnsi="Montserrat"/>
          <w:b/>
          <w:bCs/>
          <w:sz w:val="22"/>
          <w:szCs w:val="22"/>
        </w:rPr>
        <w:t>.</w:t>
      </w:r>
      <w:r w:rsidR="00566AD1" w:rsidRPr="00E60E24">
        <w:rPr>
          <w:rFonts w:ascii="Montserrat" w:hAnsi="Montserrat"/>
          <w:b/>
          <w:bCs/>
          <w:sz w:val="22"/>
          <w:szCs w:val="22"/>
        </w:rPr>
        <w:t>47</w:t>
      </w:r>
      <w:r w:rsidRPr="00E60E24">
        <w:rPr>
          <w:rFonts w:ascii="Montserrat" w:hAnsi="Montserrat"/>
          <w:b/>
          <w:bCs/>
          <w:sz w:val="22"/>
          <w:szCs w:val="22"/>
        </w:rPr>
        <w:t>%</w:t>
      </w:r>
    </w:p>
    <w:p w14:paraId="0F41E747" w14:textId="475CD145" w:rsidR="00DA269B" w:rsidRPr="00E60E24" w:rsidRDefault="00DA269B" w:rsidP="00C55E14">
      <w:pPr>
        <w:pStyle w:val="Ttulo4"/>
        <w:jc w:val="both"/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</w:pPr>
    </w:p>
    <w:p w14:paraId="40D24815" w14:textId="12E15667" w:rsidR="00C55E14" w:rsidRPr="00E60E24" w:rsidRDefault="00DA269B" w:rsidP="00C55E14">
      <w:pPr>
        <w:pStyle w:val="Ttulo4"/>
        <w:jc w:val="both"/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</w:pPr>
      <w:r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1.2.4.</w:t>
      </w:r>
      <w:r w:rsidR="00A7732D"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 xml:space="preserve"> Costo de capital propio </w:t>
      </w:r>
      <w:r w:rsidR="00B42200"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n</w:t>
      </w:r>
      <w:r w:rsidR="00A7732D"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ominal</w:t>
      </w:r>
    </w:p>
    <w:p w14:paraId="1EE5ED68" w14:textId="69BE9748" w:rsidR="00C55E14" w:rsidRPr="00E60E24" w:rsidRDefault="00C55E14" w:rsidP="006E294A">
      <w:pPr>
        <w:jc w:val="both"/>
        <w:rPr>
          <w:rFonts w:ascii="Montserrat" w:hAnsi="Montserrat"/>
          <w:b/>
          <w:bCs/>
          <w:sz w:val="22"/>
          <w:szCs w:val="22"/>
        </w:rPr>
      </w:pPr>
    </w:p>
    <w:p w14:paraId="4FBEA5CF" w14:textId="3396644B" w:rsidR="008A001B" w:rsidRPr="00E60E24" w:rsidRDefault="008A001B" w:rsidP="006E294A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La fórmula para estimar el </w:t>
      </w:r>
      <w:r w:rsidR="00486366" w:rsidRPr="00E60E24">
        <w:rPr>
          <w:rFonts w:ascii="Montserrat" w:hAnsi="Montserrat"/>
          <w:sz w:val="22"/>
          <w:szCs w:val="22"/>
        </w:rPr>
        <w:t>c</w:t>
      </w:r>
      <w:r w:rsidR="00100741" w:rsidRPr="00E60E24">
        <w:rPr>
          <w:rFonts w:ascii="Montserrat" w:hAnsi="Montserrat"/>
          <w:sz w:val="22"/>
          <w:szCs w:val="22"/>
        </w:rPr>
        <w:t xml:space="preserve">osto de </w:t>
      </w:r>
      <w:r w:rsidR="00486366" w:rsidRPr="00E60E24">
        <w:rPr>
          <w:rFonts w:ascii="Montserrat" w:hAnsi="Montserrat"/>
          <w:sz w:val="22"/>
          <w:szCs w:val="22"/>
        </w:rPr>
        <w:t>c</w:t>
      </w:r>
      <w:r w:rsidR="00100741" w:rsidRPr="00E60E24">
        <w:rPr>
          <w:rFonts w:ascii="Montserrat" w:hAnsi="Montserrat"/>
          <w:sz w:val="22"/>
          <w:szCs w:val="22"/>
        </w:rPr>
        <w:t xml:space="preserve">apital </w:t>
      </w:r>
      <w:r w:rsidR="00486366" w:rsidRPr="00E60E24">
        <w:rPr>
          <w:rFonts w:ascii="Montserrat" w:hAnsi="Montserrat"/>
          <w:sz w:val="22"/>
          <w:szCs w:val="22"/>
        </w:rPr>
        <w:t>p</w:t>
      </w:r>
      <w:r w:rsidR="00100741" w:rsidRPr="00E60E24">
        <w:rPr>
          <w:rFonts w:ascii="Montserrat" w:hAnsi="Montserrat"/>
          <w:sz w:val="22"/>
          <w:szCs w:val="22"/>
        </w:rPr>
        <w:t>ropio</w:t>
      </w:r>
      <w:r w:rsidRPr="00E60E24">
        <w:rPr>
          <w:rFonts w:ascii="Montserrat" w:hAnsi="Montserrat"/>
          <w:sz w:val="22"/>
          <w:szCs w:val="22"/>
        </w:rPr>
        <w:t xml:space="preserve"> </w:t>
      </w:r>
      <w:r w:rsidR="00486366" w:rsidRPr="00E60E24">
        <w:rPr>
          <w:rFonts w:ascii="Montserrat" w:hAnsi="Montserrat"/>
          <w:sz w:val="22"/>
          <w:szCs w:val="22"/>
        </w:rPr>
        <w:t>n</w:t>
      </w:r>
      <w:r w:rsidRPr="00E60E24">
        <w:rPr>
          <w:rFonts w:ascii="Montserrat" w:hAnsi="Montserrat"/>
          <w:sz w:val="22"/>
          <w:szCs w:val="22"/>
        </w:rPr>
        <w:t>ominal se enlista a continuación:</w:t>
      </w:r>
    </w:p>
    <w:p w14:paraId="44DE037B" w14:textId="39429C9B" w:rsidR="00801D4A" w:rsidRPr="00E60E24" w:rsidRDefault="000A4A40" w:rsidP="00801D4A">
      <w:pPr>
        <w:pStyle w:val="Textoindependiente"/>
        <w:jc w:val="both"/>
        <w:rPr>
          <w:rFonts w:ascii="Montserrat" w:eastAsiaTheme="minorEastAsia" w:hAnsi="Montserrat"/>
          <w:sz w:val="22"/>
          <w:szCs w:val="22"/>
        </w:rPr>
      </w:pPr>
      <m:oMath>
        <m:r>
          <w:rPr>
            <w:rFonts w:ascii="Cambria Math" w:hAnsi="Cambria Math"/>
            <w:sz w:val="22"/>
            <w:szCs w:val="22"/>
          </w:rPr>
          <m:t>CAP</m:t>
        </m:r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Nominal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r>
          <w:rPr>
            <w:rFonts w:ascii="Cambria Math" w:hAnsi="Cambria Math"/>
            <w:sz w:val="22"/>
            <w:szCs w:val="22"/>
          </w:rPr>
          <m:t>Tas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Libreriesgo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+(</m:t>
        </m:r>
        <m:r>
          <w:rPr>
            <w:rFonts w:ascii="Cambria Math" w:hAnsi="Cambria Math"/>
            <w:sz w:val="22"/>
            <w:szCs w:val="22"/>
          </w:rPr>
          <m:t>βconRiesgo Regulatorio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*</m:t>
        </m:r>
        <m:d>
          <m:dPr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Rentabilida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mercado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  <m:r>
              <w:rPr>
                <w:rFonts w:ascii="Cambria Math" w:hAnsi="Cambria Math"/>
                <w:sz w:val="22"/>
                <w:szCs w:val="22"/>
              </w:rPr>
              <m:t>Tas</m:t>
            </m:r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LibreRiesgo</m:t>
                </m:r>
              </m:sub>
            </m:sSub>
          </m:e>
        </m:d>
        <m:r>
          <w:rPr>
            <w:rFonts w:ascii="Cambria Math" w:hAnsi="Cambria Math"/>
            <w:sz w:val="22"/>
            <w:szCs w:val="22"/>
          </w:rPr>
          <m:t>+Riesgo País</m:t>
        </m:r>
      </m:oMath>
      <w:r w:rsidR="00E350E8" w:rsidRPr="00E60E24">
        <w:rPr>
          <w:rFonts w:ascii="Montserrat" w:eastAsiaTheme="minorEastAsia" w:hAnsi="Montserrat"/>
          <w:sz w:val="22"/>
          <w:szCs w:val="22"/>
        </w:rPr>
        <w:t>)</w:t>
      </w:r>
    </w:p>
    <w:p w14:paraId="58B82250" w14:textId="770D6B17" w:rsidR="009032CF" w:rsidRPr="00E60E24" w:rsidRDefault="009032CF" w:rsidP="009032CF">
      <w:pPr>
        <w:pStyle w:val="Ttulo4"/>
        <w:jc w:val="both"/>
        <w:rPr>
          <w:rFonts w:ascii="Montserrat" w:hAnsi="Montserrat"/>
          <w:b/>
          <w:bCs w:val="0"/>
          <w:color w:val="auto"/>
          <w:sz w:val="22"/>
          <w:szCs w:val="22"/>
        </w:rPr>
      </w:pPr>
      <w:r w:rsidRPr="00E60E24">
        <w:rPr>
          <w:rFonts w:ascii="Montserrat" w:hAnsi="Montserrat"/>
          <w:b/>
          <w:bCs w:val="0"/>
          <w:color w:val="auto"/>
          <w:sz w:val="16"/>
          <w:szCs w:val="16"/>
        </w:rPr>
        <w:lastRenderedPageBreak/>
        <w:t>Ecuación 3. Fórmula del Costo de capital propio Nominal.</w:t>
      </w:r>
    </w:p>
    <w:p w14:paraId="4B7EC0D2" w14:textId="77777777" w:rsidR="009032CF" w:rsidRPr="00E60E24" w:rsidRDefault="009032CF" w:rsidP="00801D4A">
      <w:pPr>
        <w:pStyle w:val="Textoindependiente"/>
        <w:jc w:val="both"/>
        <w:rPr>
          <w:rFonts w:ascii="Montserrat" w:eastAsiaTheme="minorEastAsia" w:hAnsi="Montserrat"/>
          <w:sz w:val="22"/>
          <w:szCs w:val="22"/>
        </w:rPr>
      </w:pPr>
    </w:p>
    <w:p w14:paraId="61AB06DE" w14:textId="2B925A01" w:rsidR="00801D4A" w:rsidRPr="00E60E24" w:rsidRDefault="009032CF" w:rsidP="00801D4A">
      <w:pPr>
        <w:pStyle w:val="Textoindependiente"/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Al sustituir valores se obtiene el resultado</w:t>
      </w:r>
      <w:r w:rsidR="0012232D" w:rsidRPr="00E60E24">
        <w:rPr>
          <w:rFonts w:ascii="Montserrat" w:hAnsi="Montserrat"/>
          <w:sz w:val="22"/>
          <w:szCs w:val="22"/>
        </w:rPr>
        <w:t xml:space="preserve"> siguiente</w:t>
      </w:r>
      <w:r w:rsidRPr="00E60E24">
        <w:rPr>
          <w:rFonts w:ascii="Montserrat" w:hAnsi="Montserrat"/>
          <w:sz w:val="22"/>
          <w:szCs w:val="22"/>
        </w:rPr>
        <w:t>:</w:t>
      </w:r>
    </w:p>
    <w:p w14:paraId="539828DD" w14:textId="70171A0C" w:rsidR="00801D4A" w:rsidRPr="00E60E24" w:rsidRDefault="000A4A40" w:rsidP="00801D4A">
      <w:pPr>
        <w:pStyle w:val="Textoindependiente"/>
        <w:jc w:val="both"/>
        <w:rPr>
          <w:rFonts w:ascii="Montserrat" w:eastAsiaTheme="minorEastAsia" w:hAnsi="Montserrat"/>
          <w:sz w:val="22"/>
          <w:szCs w:val="22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2"/>
              <w:szCs w:val="22"/>
            </w:rPr>
            <m:t>CAP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Nominal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  <w:lang w:val="en-US"/>
            </w:rPr>
            <m:t>=</m:t>
          </m:r>
          <m:r>
            <w:rPr>
              <w:rFonts w:ascii="Cambria Math" w:hAnsi="Cambria Math"/>
              <w:sz w:val="22"/>
              <w:szCs w:val="22"/>
              <w:lang w:val="en-US"/>
            </w:rPr>
            <m:t>0.0447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0.86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0.1143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0.0447</m:t>
                  </m:r>
                </m:e>
              </m:d>
              <m:r>
                <w:rPr>
                  <w:rFonts w:ascii="Cambria Math" w:eastAsiaTheme="minorEastAsia" w:hAnsi="Cambria Math"/>
                  <w:sz w:val="22"/>
                  <w:szCs w:val="22"/>
                  <w:lang w:val="en-US"/>
                </w:rPr>
                <m:t>+0.0299</m:t>
              </m:r>
              <m:ctrlPr>
                <w:rPr>
                  <w:rFonts w:ascii="Cambria Math" w:eastAsiaTheme="minorEastAsia" w:hAnsi="Cambria Math"/>
                  <w:i/>
                  <w:sz w:val="22"/>
                  <w:szCs w:val="22"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sz w:val="22"/>
              <w:szCs w:val="22"/>
              <w:lang w:val="en-US"/>
            </w:rPr>
            <m:t>=0.1342</m:t>
          </m:r>
        </m:oMath>
      </m:oMathPara>
    </w:p>
    <w:p w14:paraId="7620081D" w14:textId="735C3EE9" w:rsidR="00801D4A" w:rsidRPr="00E60E24" w:rsidRDefault="00B3089B" w:rsidP="006E294A">
      <w:pPr>
        <w:jc w:val="both"/>
        <w:rPr>
          <w:rFonts w:ascii="Montserrat" w:hAnsi="Montserrat"/>
          <w:b/>
          <w:bCs/>
          <w:sz w:val="22"/>
          <w:szCs w:val="22"/>
          <w:lang w:val="es-MX"/>
        </w:rPr>
      </w:pPr>
      <w:r w:rsidRPr="00E60E24">
        <w:rPr>
          <w:rFonts w:ascii="Montserrat" w:hAnsi="Montserrat" w:cs="Arial"/>
          <w:color w:val="000000"/>
          <w:sz w:val="18"/>
          <w:szCs w:val="18"/>
        </w:rPr>
        <w:t>* Debido al redondeo de las cifras, el total puede no coincidir con la suma de los elementos</w:t>
      </w:r>
      <w:r w:rsidR="00ED1B0A" w:rsidRPr="00E60E24">
        <w:rPr>
          <w:rFonts w:ascii="Montserrat" w:hAnsi="Montserrat" w:cs="Arial"/>
          <w:color w:val="000000"/>
          <w:sz w:val="18"/>
          <w:szCs w:val="18"/>
        </w:rPr>
        <w:t>.</w:t>
      </w:r>
    </w:p>
    <w:p w14:paraId="5FAB8EF5" w14:textId="77777777" w:rsidR="00801D4A" w:rsidRPr="00E60E24" w:rsidRDefault="00801D4A" w:rsidP="006E294A">
      <w:pPr>
        <w:jc w:val="both"/>
        <w:rPr>
          <w:rFonts w:ascii="Montserrat" w:hAnsi="Montserrat"/>
          <w:b/>
          <w:bCs/>
          <w:sz w:val="22"/>
          <w:szCs w:val="22"/>
          <w:lang w:val="es-MX"/>
        </w:rPr>
      </w:pPr>
    </w:p>
    <w:p w14:paraId="26EC26EE" w14:textId="4B854944" w:rsidR="00C55E14" w:rsidRPr="00E60E24" w:rsidRDefault="00C55E14" w:rsidP="006E294A">
      <w:pPr>
        <w:jc w:val="both"/>
        <w:rPr>
          <w:rFonts w:ascii="Montserrat" w:hAnsi="Montserrat"/>
          <w:b/>
          <w:bCs/>
          <w:sz w:val="22"/>
          <w:szCs w:val="22"/>
          <w:lang w:val="es-MX"/>
        </w:rPr>
      </w:pPr>
      <w:r w:rsidRPr="00E60E24">
        <w:rPr>
          <w:rFonts w:ascii="Montserrat" w:hAnsi="Montserrat"/>
          <w:b/>
          <w:bCs/>
          <w:sz w:val="22"/>
          <w:szCs w:val="22"/>
          <w:lang w:val="es-MX"/>
        </w:rPr>
        <w:t xml:space="preserve">CAPM </w:t>
      </w:r>
      <w:r w:rsidR="000A4A40" w:rsidRPr="00E60E24">
        <w:rPr>
          <w:rFonts w:ascii="Montserrat" w:hAnsi="Montserrat"/>
          <w:b/>
          <w:bCs/>
          <w:sz w:val="22"/>
          <w:szCs w:val="22"/>
          <w:lang w:val="es-MX"/>
        </w:rPr>
        <w:t>Nominal</w:t>
      </w:r>
      <w:r w:rsidRPr="00E60E24">
        <w:rPr>
          <w:rFonts w:ascii="Montserrat" w:hAnsi="Montserrat"/>
          <w:b/>
          <w:bCs/>
          <w:sz w:val="22"/>
          <w:szCs w:val="22"/>
          <w:lang w:val="es-MX"/>
        </w:rPr>
        <w:t>. 1</w:t>
      </w:r>
      <w:r w:rsidR="00566AD1" w:rsidRPr="00E60E24">
        <w:rPr>
          <w:rFonts w:ascii="Montserrat" w:hAnsi="Montserrat"/>
          <w:b/>
          <w:bCs/>
          <w:sz w:val="22"/>
          <w:szCs w:val="22"/>
          <w:lang w:val="es-MX"/>
        </w:rPr>
        <w:t>3.42</w:t>
      </w:r>
      <w:r w:rsidRPr="00E60E24">
        <w:rPr>
          <w:rFonts w:ascii="Montserrat" w:hAnsi="Montserrat"/>
          <w:b/>
          <w:bCs/>
          <w:sz w:val="22"/>
          <w:szCs w:val="22"/>
          <w:lang w:val="es-MX"/>
        </w:rPr>
        <w:t>%</w:t>
      </w:r>
    </w:p>
    <w:p w14:paraId="20530A71" w14:textId="53588042" w:rsidR="00C55E14" w:rsidRPr="00E60E24" w:rsidRDefault="00C55E14" w:rsidP="00C55E14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Posteriormente, se debe descontar la inflación</w:t>
      </w:r>
      <w:r w:rsidR="00BA3A55" w:rsidRPr="00E60E24">
        <w:rPr>
          <w:rFonts w:ascii="Montserrat" w:hAnsi="Montserrat"/>
          <w:sz w:val="22"/>
          <w:szCs w:val="22"/>
        </w:rPr>
        <w:t xml:space="preserve"> para obtener el CAPM </w:t>
      </w:r>
      <w:r w:rsidR="00486366" w:rsidRPr="00E60E24">
        <w:rPr>
          <w:rFonts w:ascii="Montserrat" w:hAnsi="Montserrat"/>
          <w:sz w:val="22"/>
          <w:szCs w:val="22"/>
        </w:rPr>
        <w:t>r</w:t>
      </w:r>
      <w:r w:rsidR="009032CF" w:rsidRPr="00E60E24">
        <w:rPr>
          <w:rFonts w:ascii="Montserrat" w:hAnsi="Montserrat"/>
          <w:sz w:val="22"/>
          <w:szCs w:val="22"/>
        </w:rPr>
        <w:t>eal</w:t>
      </w:r>
      <w:r w:rsidR="00BA3A55" w:rsidRPr="00E60E24">
        <w:rPr>
          <w:rFonts w:ascii="Montserrat" w:hAnsi="Montserrat"/>
          <w:sz w:val="22"/>
          <w:szCs w:val="22"/>
        </w:rPr>
        <w:t>.</w:t>
      </w:r>
    </w:p>
    <w:p w14:paraId="27515E6F" w14:textId="77777777" w:rsidR="009032CF" w:rsidRPr="00E60E24" w:rsidRDefault="009032CF" w:rsidP="00C55E14">
      <w:pPr>
        <w:jc w:val="both"/>
        <w:rPr>
          <w:rFonts w:ascii="Montserrat" w:hAnsi="Montserrat"/>
          <w:sz w:val="22"/>
          <w:szCs w:val="22"/>
        </w:rPr>
      </w:pPr>
    </w:p>
    <w:p w14:paraId="73DC57B5" w14:textId="3269700C" w:rsidR="00C55E14" w:rsidRPr="00E60E24" w:rsidRDefault="00DA269B" w:rsidP="00C55E14">
      <w:pPr>
        <w:pStyle w:val="Ttulo4"/>
        <w:jc w:val="both"/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</w:pPr>
      <w:r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1.2.5. Expectativa de inflación.</w:t>
      </w:r>
    </w:p>
    <w:p w14:paraId="7D0CEC90" w14:textId="7E9C9D74" w:rsidR="00C55E14" w:rsidRPr="00E60E24" w:rsidRDefault="00C55E14" w:rsidP="006E294A">
      <w:pPr>
        <w:jc w:val="both"/>
        <w:rPr>
          <w:rFonts w:ascii="Montserrat" w:hAnsi="Montserrat"/>
          <w:b/>
          <w:bCs/>
          <w:sz w:val="22"/>
          <w:szCs w:val="22"/>
        </w:rPr>
      </w:pPr>
    </w:p>
    <w:p w14:paraId="5951736F" w14:textId="17EF7E51" w:rsidR="00C55E14" w:rsidRPr="00E60E24" w:rsidRDefault="00C55E14" w:rsidP="006E294A">
      <w:pPr>
        <w:jc w:val="both"/>
        <w:rPr>
          <w:rFonts w:ascii="Montserrat" w:hAnsi="Montserrat"/>
          <w:sz w:val="22"/>
          <w:szCs w:val="22"/>
        </w:rPr>
      </w:pPr>
      <w:commentRangeStart w:id="12"/>
      <w:commentRangeStart w:id="13"/>
      <w:r w:rsidRPr="00E60E24">
        <w:rPr>
          <w:rFonts w:ascii="Montserrat" w:hAnsi="Montserrat"/>
          <w:sz w:val="22"/>
          <w:szCs w:val="22"/>
        </w:rPr>
        <w:t xml:space="preserve">La expectativa de inflación se obtiene por medio del análisis ofrecido </w:t>
      </w:r>
      <w:r w:rsidR="003B7201" w:rsidRPr="00E60E24">
        <w:rPr>
          <w:rFonts w:ascii="Montserrat" w:hAnsi="Montserrat"/>
          <w:sz w:val="22"/>
          <w:szCs w:val="22"/>
        </w:rPr>
        <w:t xml:space="preserve">por </w:t>
      </w:r>
      <w:r w:rsidR="003B7201" w:rsidRPr="00E60E24">
        <w:rPr>
          <w:rFonts w:ascii="Montserrat" w:hAnsi="Montserrat"/>
          <w:i/>
          <w:sz w:val="22"/>
        </w:rPr>
        <w:t>“</w:t>
      </w:r>
      <w:proofErr w:type="spellStart"/>
      <w:r w:rsidR="00D27C9C" w:rsidRPr="00E60E24">
        <w:rPr>
          <w:rFonts w:ascii="Montserrat" w:hAnsi="Montserrat"/>
          <w:i/>
          <w:sz w:val="22"/>
        </w:rPr>
        <w:t>The</w:t>
      </w:r>
      <w:proofErr w:type="spellEnd"/>
      <w:r w:rsidR="00D27C9C" w:rsidRPr="00E60E24">
        <w:rPr>
          <w:rFonts w:ascii="Montserrat" w:hAnsi="Montserrat"/>
          <w:i/>
          <w:sz w:val="22"/>
        </w:rPr>
        <w:t xml:space="preserve"> Budget and </w:t>
      </w:r>
      <w:proofErr w:type="spellStart"/>
      <w:r w:rsidR="00D27C9C" w:rsidRPr="00E60E24">
        <w:rPr>
          <w:rFonts w:ascii="Montserrat" w:hAnsi="Montserrat"/>
          <w:i/>
          <w:sz w:val="22"/>
        </w:rPr>
        <w:t>Economic</w:t>
      </w:r>
      <w:proofErr w:type="spellEnd"/>
      <w:r w:rsidR="00D27C9C" w:rsidRPr="00E60E24">
        <w:rPr>
          <w:rFonts w:ascii="Montserrat" w:hAnsi="Montserrat"/>
          <w:i/>
          <w:sz w:val="22"/>
        </w:rPr>
        <w:t xml:space="preserve"> Outlook”</w:t>
      </w:r>
      <w:r w:rsidR="00BA3A55" w:rsidRPr="00E60E24">
        <w:rPr>
          <w:rFonts w:ascii="Montserrat" w:hAnsi="Montserrat"/>
          <w:sz w:val="22"/>
          <w:szCs w:val="22"/>
        </w:rPr>
        <w:t xml:space="preserve">, un documento elaborado por el </w:t>
      </w:r>
      <w:proofErr w:type="spellStart"/>
      <w:r w:rsidR="00BA3A55" w:rsidRPr="00E60E24">
        <w:rPr>
          <w:rFonts w:ascii="Montserrat" w:hAnsi="Montserrat"/>
          <w:i/>
          <w:iCs/>
          <w:sz w:val="22"/>
          <w:szCs w:val="22"/>
        </w:rPr>
        <w:t>Congressional</w:t>
      </w:r>
      <w:proofErr w:type="spellEnd"/>
      <w:r w:rsidR="00BA3A55" w:rsidRPr="00E60E24">
        <w:rPr>
          <w:rFonts w:ascii="Montserrat" w:hAnsi="Montserrat"/>
          <w:i/>
          <w:iCs/>
          <w:sz w:val="22"/>
          <w:szCs w:val="22"/>
        </w:rPr>
        <w:t xml:space="preserve"> Budget Office</w:t>
      </w:r>
      <w:r w:rsidR="00BA3A55" w:rsidRPr="00E60E24">
        <w:rPr>
          <w:rFonts w:ascii="Montserrat" w:hAnsi="Montserrat"/>
          <w:sz w:val="22"/>
          <w:szCs w:val="22"/>
        </w:rPr>
        <w:t xml:space="preserve"> (Oficina de Presupuestos del Congreso) de Estados Unidos y que </w:t>
      </w:r>
      <w:r w:rsidR="00D27C9C" w:rsidRPr="00E60E24">
        <w:rPr>
          <w:rFonts w:ascii="Montserrat" w:hAnsi="Montserrat"/>
          <w:sz w:val="22"/>
          <w:szCs w:val="22"/>
        </w:rPr>
        <w:t>considera la siguiente tasa de inflación</w:t>
      </w:r>
      <w:r w:rsidR="00BA3A55" w:rsidRPr="00E60E24">
        <w:rPr>
          <w:rFonts w:ascii="Montserrat" w:hAnsi="Montserrat"/>
          <w:sz w:val="22"/>
          <w:szCs w:val="22"/>
        </w:rPr>
        <w:t xml:space="preserve"> para el país norteamericano </w:t>
      </w:r>
      <w:r w:rsidR="00B3089B" w:rsidRPr="00E60E24">
        <w:rPr>
          <w:rFonts w:ascii="Montserrat" w:hAnsi="Montserrat"/>
          <w:sz w:val="22"/>
          <w:szCs w:val="22"/>
        </w:rPr>
        <w:t>para el periodo 202</w:t>
      </w:r>
      <w:r w:rsidR="00566AD1" w:rsidRPr="00E60E24">
        <w:rPr>
          <w:rFonts w:ascii="Montserrat" w:hAnsi="Montserrat"/>
          <w:sz w:val="22"/>
          <w:szCs w:val="22"/>
        </w:rPr>
        <w:t>3</w:t>
      </w:r>
      <w:r w:rsidR="00B3089B" w:rsidRPr="00E60E24">
        <w:rPr>
          <w:rFonts w:ascii="Montserrat" w:hAnsi="Montserrat"/>
          <w:sz w:val="22"/>
          <w:szCs w:val="22"/>
        </w:rPr>
        <w:t>-202</w:t>
      </w:r>
      <w:r w:rsidR="00566AD1" w:rsidRPr="00E60E24">
        <w:rPr>
          <w:rFonts w:ascii="Montserrat" w:hAnsi="Montserrat"/>
          <w:sz w:val="22"/>
          <w:szCs w:val="22"/>
        </w:rPr>
        <w:t>7</w:t>
      </w:r>
      <w:r w:rsidR="00BA3A55" w:rsidRPr="00E60E24">
        <w:rPr>
          <w:rFonts w:ascii="Montserrat" w:hAnsi="Montserrat"/>
          <w:sz w:val="22"/>
          <w:szCs w:val="22"/>
        </w:rPr>
        <w:t>:</w:t>
      </w:r>
      <w:r w:rsidR="00D27C9C" w:rsidRPr="00E60E24">
        <w:rPr>
          <w:rFonts w:ascii="Montserrat" w:hAnsi="Montserrat"/>
          <w:sz w:val="22"/>
          <w:szCs w:val="22"/>
        </w:rPr>
        <w:t xml:space="preserve"> </w:t>
      </w:r>
    </w:p>
    <w:p w14:paraId="149CBFDF" w14:textId="39BF9BC6" w:rsidR="00D27C9C" w:rsidRPr="00E60E24" w:rsidRDefault="00D27C9C" w:rsidP="006E294A">
      <w:pPr>
        <w:jc w:val="both"/>
        <w:rPr>
          <w:rFonts w:ascii="Montserrat" w:hAnsi="Montserrat"/>
          <w:b/>
          <w:bCs/>
          <w:sz w:val="22"/>
          <w:szCs w:val="22"/>
        </w:rPr>
      </w:pPr>
      <w:r w:rsidRPr="00E60E24">
        <w:rPr>
          <w:rFonts w:ascii="Montserrat" w:hAnsi="Montserrat"/>
          <w:b/>
          <w:bCs/>
          <w:sz w:val="22"/>
          <w:szCs w:val="22"/>
        </w:rPr>
        <w:t xml:space="preserve">Tasa de Inflación. </w:t>
      </w:r>
      <w:r w:rsidR="00566AD1" w:rsidRPr="00E60E24">
        <w:rPr>
          <w:rFonts w:ascii="Montserrat" w:hAnsi="Montserrat"/>
          <w:b/>
          <w:bCs/>
          <w:sz w:val="22"/>
          <w:szCs w:val="22"/>
        </w:rPr>
        <w:t>2.48</w:t>
      </w:r>
      <w:r w:rsidRPr="00E60E24">
        <w:rPr>
          <w:rFonts w:ascii="Montserrat" w:hAnsi="Montserrat"/>
          <w:b/>
          <w:bCs/>
          <w:sz w:val="22"/>
          <w:szCs w:val="22"/>
        </w:rPr>
        <w:t xml:space="preserve">% </w:t>
      </w:r>
      <w:commentRangeEnd w:id="12"/>
      <w:r w:rsidR="00B93C30">
        <w:rPr>
          <w:rStyle w:val="Refdecomentario"/>
        </w:rPr>
        <w:commentReference w:id="12"/>
      </w:r>
      <w:commentRangeEnd w:id="13"/>
      <w:r w:rsidR="00496409">
        <w:rPr>
          <w:rStyle w:val="Refdecomentario"/>
        </w:rPr>
        <w:commentReference w:id="13"/>
      </w:r>
    </w:p>
    <w:p w14:paraId="12686965" w14:textId="77777777" w:rsidR="00DA269B" w:rsidRPr="00E60E24" w:rsidRDefault="00DA269B" w:rsidP="006E294A">
      <w:pPr>
        <w:jc w:val="both"/>
        <w:rPr>
          <w:rFonts w:ascii="Montserrat" w:hAnsi="Montserrat"/>
          <w:b/>
          <w:bCs/>
          <w:sz w:val="22"/>
          <w:szCs w:val="22"/>
        </w:rPr>
      </w:pPr>
    </w:p>
    <w:p w14:paraId="4BD939A4" w14:textId="06C7DD50" w:rsidR="00D27C9C" w:rsidRPr="00E60E24" w:rsidRDefault="00DA269B" w:rsidP="00D27C9C">
      <w:pPr>
        <w:pStyle w:val="Ttulo4"/>
        <w:jc w:val="both"/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</w:pPr>
      <w:r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 xml:space="preserve">1.2.6. </w:t>
      </w:r>
      <w:r w:rsidR="00A7732D"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 xml:space="preserve">Costo de </w:t>
      </w:r>
      <w:r w:rsidR="00486366"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c</w:t>
      </w:r>
      <w:r w:rsidR="00A7732D"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apital propio real</w:t>
      </w:r>
      <w:r w:rsidRPr="00E60E24">
        <w:rPr>
          <w:rFonts w:ascii="Montserrat" w:hAnsi="Montserrat"/>
          <w:b/>
          <w:bCs w:val="0"/>
          <w:i w:val="0"/>
          <w:iCs/>
          <w:color w:val="auto"/>
          <w:sz w:val="22"/>
          <w:szCs w:val="22"/>
        </w:rPr>
        <w:t>.</w:t>
      </w:r>
    </w:p>
    <w:p w14:paraId="7BE1D962" w14:textId="77777777" w:rsidR="00D27C9C" w:rsidRPr="00E60E24" w:rsidRDefault="00D27C9C" w:rsidP="00D27C9C">
      <w:pPr>
        <w:pStyle w:val="Textoindependiente"/>
        <w:rPr>
          <w:rFonts w:ascii="Montserrat" w:hAnsi="Montserrat"/>
          <w:sz w:val="22"/>
          <w:szCs w:val="22"/>
        </w:rPr>
      </w:pPr>
    </w:p>
    <w:p w14:paraId="15164E4C" w14:textId="28A90291" w:rsidR="00C55E14" w:rsidRPr="00E60E24" w:rsidRDefault="00D27C9C" w:rsidP="006E294A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Una vez obtenidos todos los datos se obtiene el </w:t>
      </w:r>
      <w:r w:rsidR="00486366" w:rsidRPr="00E60E24">
        <w:rPr>
          <w:rFonts w:ascii="Montserrat" w:hAnsi="Montserrat"/>
          <w:sz w:val="22"/>
          <w:szCs w:val="22"/>
        </w:rPr>
        <w:t>c</w:t>
      </w:r>
      <w:r w:rsidR="00C722BD" w:rsidRPr="00E60E24">
        <w:rPr>
          <w:rFonts w:ascii="Montserrat" w:hAnsi="Montserrat"/>
          <w:sz w:val="22"/>
          <w:szCs w:val="22"/>
        </w:rPr>
        <w:t xml:space="preserve">osto de </w:t>
      </w:r>
      <w:r w:rsidR="00486366" w:rsidRPr="00E60E24">
        <w:rPr>
          <w:rFonts w:ascii="Montserrat" w:hAnsi="Montserrat"/>
          <w:sz w:val="22"/>
          <w:szCs w:val="22"/>
        </w:rPr>
        <w:t>c</w:t>
      </w:r>
      <w:r w:rsidR="00C722BD" w:rsidRPr="00E60E24">
        <w:rPr>
          <w:rFonts w:ascii="Montserrat" w:hAnsi="Montserrat"/>
          <w:sz w:val="22"/>
          <w:szCs w:val="22"/>
        </w:rPr>
        <w:t>apital real a través de la fórmula</w:t>
      </w:r>
      <w:r w:rsidR="0012232D" w:rsidRPr="00E60E24">
        <w:rPr>
          <w:rFonts w:ascii="Montserrat" w:hAnsi="Montserrat"/>
          <w:sz w:val="22"/>
          <w:szCs w:val="22"/>
        </w:rPr>
        <w:t xml:space="preserve"> siguiente</w:t>
      </w:r>
      <w:r w:rsidR="00C722BD" w:rsidRPr="00E60E24">
        <w:rPr>
          <w:rFonts w:ascii="Montserrat" w:hAnsi="Montserrat"/>
          <w:sz w:val="22"/>
          <w:szCs w:val="22"/>
        </w:rPr>
        <w:t>:</w:t>
      </w:r>
    </w:p>
    <w:p w14:paraId="578F9382" w14:textId="6F67C36E" w:rsidR="00D27C9C" w:rsidRPr="00E60E24" w:rsidRDefault="00D27C9C" w:rsidP="00D27C9C">
      <w:pPr>
        <w:pStyle w:val="Ttulo4"/>
        <w:rPr>
          <w:rFonts w:ascii="Montserrat" w:hAnsi="Montserrat"/>
          <w:b/>
          <w:bCs w:val="0"/>
          <w:color w:val="auto"/>
          <w:sz w:val="22"/>
          <w:szCs w:val="22"/>
        </w:rPr>
      </w:pPr>
    </w:p>
    <w:p w14:paraId="3FF630B3" w14:textId="3E8900A6" w:rsidR="00D27C9C" w:rsidRPr="00E60E24" w:rsidRDefault="00D27C9C" w:rsidP="006E294A">
      <w:pPr>
        <w:jc w:val="both"/>
        <w:rPr>
          <w:rFonts w:ascii="Montserrat" w:eastAsiaTheme="minorEastAsia" w:hAnsi="Montserrat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CAP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real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=(CAP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Nominal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-Expectativa de Inflación)/(1+ Expectativa de Inflación)</m:t>
          </m:r>
        </m:oMath>
      </m:oMathPara>
    </w:p>
    <w:p w14:paraId="348E7E88" w14:textId="76D42E98" w:rsidR="00B24CAB" w:rsidRPr="00E60E24" w:rsidRDefault="009032CF" w:rsidP="00F95298">
      <w:pPr>
        <w:jc w:val="both"/>
        <w:rPr>
          <w:rFonts w:ascii="Montserrat" w:hAnsi="Montserrat"/>
          <w:b/>
          <w:bCs/>
          <w:sz w:val="22"/>
          <w:szCs w:val="22"/>
        </w:rPr>
      </w:pPr>
      <w:r w:rsidRPr="00E60E24">
        <w:rPr>
          <w:rFonts w:ascii="Montserrat" w:hAnsi="Montserrat"/>
          <w:b/>
          <w:sz w:val="16"/>
          <w:szCs w:val="16"/>
        </w:rPr>
        <w:t xml:space="preserve">Ecuación </w:t>
      </w:r>
      <w:r w:rsidRPr="00E60E24">
        <w:rPr>
          <w:rFonts w:ascii="Montserrat" w:hAnsi="Montserrat"/>
          <w:b/>
          <w:bCs/>
          <w:sz w:val="16"/>
          <w:szCs w:val="16"/>
        </w:rPr>
        <w:t>4</w:t>
      </w:r>
      <w:r w:rsidRPr="00E60E24">
        <w:rPr>
          <w:rFonts w:ascii="Montserrat" w:hAnsi="Montserrat"/>
          <w:b/>
          <w:sz w:val="16"/>
          <w:szCs w:val="16"/>
        </w:rPr>
        <w:t xml:space="preserve">. </w:t>
      </w:r>
      <w:r w:rsidRPr="00E60E24">
        <w:rPr>
          <w:rFonts w:ascii="Montserrat" w:hAnsi="Montserrat"/>
          <w:b/>
          <w:bCs/>
          <w:sz w:val="16"/>
          <w:szCs w:val="16"/>
        </w:rPr>
        <w:t>F</w:t>
      </w:r>
      <w:r w:rsidRPr="00E60E24">
        <w:rPr>
          <w:rFonts w:ascii="Montserrat" w:hAnsi="Montserrat"/>
          <w:b/>
          <w:sz w:val="16"/>
          <w:szCs w:val="16"/>
        </w:rPr>
        <w:t>órmula d</w:t>
      </w:r>
      <w:r w:rsidRPr="00E60E24">
        <w:rPr>
          <w:rFonts w:ascii="Montserrat" w:hAnsi="Montserrat"/>
          <w:b/>
          <w:bCs/>
          <w:sz w:val="16"/>
          <w:szCs w:val="16"/>
        </w:rPr>
        <w:t xml:space="preserve">el </w:t>
      </w:r>
      <w:r w:rsidR="00486366" w:rsidRPr="00E60E24">
        <w:rPr>
          <w:rFonts w:ascii="Montserrat" w:hAnsi="Montserrat"/>
          <w:b/>
          <w:bCs/>
          <w:sz w:val="16"/>
          <w:szCs w:val="16"/>
        </w:rPr>
        <w:t>c</w:t>
      </w:r>
      <w:r w:rsidRPr="00E60E24">
        <w:rPr>
          <w:rFonts w:ascii="Montserrat" w:hAnsi="Montserrat"/>
          <w:b/>
          <w:bCs/>
          <w:sz w:val="16"/>
          <w:szCs w:val="16"/>
        </w:rPr>
        <w:t>osto de capital propio real</w:t>
      </w:r>
      <w:r w:rsidRPr="00E60E24">
        <w:rPr>
          <w:rFonts w:ascii="Montserrat" w:hAnsi="Montserrat"/>
          <w:b/>
          <w:sz w:val="16"/>
          <w:szCs w:val="16"/>
        </w:rPr>
        <w:t>.</w:t>
      </w:r>
    </w:p>
    <w:p w14:paraId="2C618F30" w14:textId="77777777" w:rsidR="00AD0E22" w:rsidRPr="00E60E24" w:rsidRDefault="00AD0E22" w:rsidP="00F95298">
      <w:pPr>
        <w:jc w:val="both"/>
        <w:rPr>
          <w:rFonts w:ascii="Montserrat" w:hAnsi="Montserrat"/>
          <w:sz w:val="22"/>
          <w:szCs w:val="22"/>
        </w:rPr>
      </w:pPr>
    </w:p>
    <w:p w14:paraId="0F4322C6" w14:textId="28BB16AC" w:rsidR="00F95298" w:rsidRPr="00E60E24" w:rsidRDefault="00F95298" w:rsidP="00F95298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>Para obtener el resultado final, se sustituye en la fórmula los valores obtenidos:</w:t>
      </w:r>
    </w:p>
    <w:p w14:paraId="58B9287B" w14:textId="5252D7A4" w:rsidR="00F95298" w:rsidRPr="00E60E24" w:rsidRDefault="00F95298" w:rsidP="00F95298">
      <w:pPr>
        <w:jc w:val="both"/>
        <w:rPr>
          <w:rFonts w:ascii="Montserrat" w:hAnsi="Montserrat"/>
          <w:sz w:val="22"/>
          <w:szCs w:val="22"/>
        </w:rPr>
      </w:pPr>
    </w:p>
    <w:p w14:paraId="0477C17C" w14:textId="7A192145" w:rsidR="00F95298" w:rsidRPr="00E60E24" w:rsidRDefault="00F95298" w:rsidP="00F95298">
      <w:pPr>
        <w:jc w:val="both"/>
        <w:rPr>
          <w:rFonts w:ascii="Montserrat" w:eastAsiaTheme="minorEastAsia" w:hAnsi="Montserrat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CAP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real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0.1342-0.0248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1+0.0248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=0.1068</m:t>
          </m:r>
        </m:oMath>
      </m:oMathPara>
    </w:p>
    <w:p w14:paraId="4F278A11" w14:textId="1BEE797D" w:rsidR="00F95298" w:rsidRPr="00E60E24" w:rsidRDefault="00B3089B" w:rsidP="00F95298">
      <w:pPr>
        <w:jc w:val="both"/>
        <w:rPr>
          <w:rFonts w:ascii="Montserrat" w:hAnsi="Montserrat"/>
          <w:sz w:val="18"/>
          <w:szCs w:val="18"/>
        </w:rPr>
      </w:pPr>
      <w:r w:rsidRPr="00E60E24">
        <w:rPr>
          <w:rFonts w:ascii="Montserrat" w:hAnsi="Montserrat" w:cs="Arial"/>
          <w:color w:val="000000"/>
          <w:sz w:val="18"/>
          <w:szCs w:val="18"/>
        </w:rPr>
        <w:t>* Debido al redondeo de las cifras, el total puede no coincidir con la suma de los elementos</w:t>
      </w:r>
      <w:r w:rsidR="00722D47" w:rsidRPr="00E60E24">
        <w:rPr>
          <w:rFonts w:ascii="Montserrat" w:hAnsi="Montserrat" w:cs="Arial"/>
          <w:color w:val="000000"/>
          <w:sz w:val="18"/>
          <w:szCs w:val="18"/>
        </w:rPr>
        <w:t>.</w:t>
      </w:r>
    </w:p>
    <w:p w14:paraId="21BACAB0" w14:textId="77777777" w:rsidR="00AD0E22" w:rsidRPr="00E60E24" w:rsidRDefault="00AD0E22" w:rsidP="006E294A">
      <w:pPr>
        <w:jc w:val="both"/>
        <w:rPr>
          <w:rFonts w:ascii="Montserrat" w:eastAsiaTheme="minorEastAsia" w:hAnsi="Montserrat"/>
          <w:sz w:val="22"/>
          <w:szCs w:val="22"/>
        </w:rPr>
      </w:pPr>
    </w:p>
    <w:p w14:paraId="3762E353" w14:textId="77777777" w:rsidR="00AD0E22" w:rsidRPr="00E60E24" w:rsidRDefault="00AD0E22" w:rsidP="006E294A">
      <w:pPr>
        <w:jc w:val="both"/>
        <w:rPr>
          <w:rFonts w:ascii="Montserrat" w:eastAsiaTheme="minorEastAsia" w:hAnsi="Montserrat"/>
          <w:sz w:val="22"/>
          <w:szCs w:val="22"/>
        </w:rPr>
      </w:pPr>
    </w:p>
    <w:p w14:paraId="2DC2162B" w14:textId="77777777" w:rsidR="00AD0E22" w:rsidRPr="00E60E24" w:rsidRDefault="00AD0E22" w:rsidP="006E294A">
      <w:pPr>
        <w:jc w:val="both"/>
        <w:rPr>
          <w:rFonts w:ascii="Montserrat" w:eastAsiaTheme="minorEastAsia" w:hAnsi="Montserrat"/>
          <w:sz w:val="22"/>
          <w:szCs w:val="22"/>
        </w:rPr>
      </w:pPr>
    </w:p>
    <w:p w14:paraId="4D29BD45" w14:textId="257FAAA4" w:rsidR="00D27C9C" w:rsidRPr="00E60E24" w:rsidRDefault="00D27C9C" w:rsidP="006E294A">
      <w:pPr>
        <w:jc w:val="both"/>
        <w:rPr>
          <w:rFonts w:ascii="Montserrat" w:eastAsiaTheme="minorEastAsia" w:hAnsi="Montserrat"/>
          <w:sz w:val="22"/>
          <w:szCs w:val="22"/>
        </w:rPr>
      </w:pPr>
      <w:r w:rsidRPr="00E60E24">
        <w:rPr>
          <w:rFonts w:ascii="Montserrat" w:eastAsiaTheme="minorEastAsia" w:hAnsi="Montserrat"/>
          <w:sz w:val="22"/>
          <w:szCs w:val="22"/>
        </w:rPr>
        <w:t xml:space="preserve">Donde: </w:t>
      </w:r>
    </w:p>
    <w:p w14:paraId="4E81F150" w14:textId="7E7E776D" w:rsidR="00D27C9C" w:rsidRPr="00E60E24" w:rsidRDefault="00D27C9C" w:rsidP="006E294A">
      <w:pPr>
        <w:jc w:val="both"/>
        <w:rPr>
          <w:rFonts w:ascii="Montserrat" w:eastAsiaTheme="minorEastAsia" w:hAnsi="Montserrat"/>
          <w:sz w:val="22"/>
          <w:szCs w:val="22"/>
        </w:rPr>
      </w:pPr>
      <w:r w:rsidRPr="00E60E24">
        <w:rPr>
          <w:rFonts w:ascii="Montserrat" w:eastAsiaTheme="minorEastAsia" w:hAnsi="Montserrat"/>
          <w:b/>
          <w:bCs/>
          <w:sz w:val="22"/>
          <w:szCs w:val="22"/>
        </w:rPr>
        <w:t xml:space="preserve">CAPM </w:t>
      </w:r>
      <w:r w:rsidR="00C722BD" w:rsidRPr="00E60E24">
        <w:rPr>
          <w:rFonts w:ascii="Montserrat" w:eastAsiaTheme="minorEastAsia" w:hAnsi="Montserrat"/>
          <w:b/>
          <w:bCs/>
          <w:sz w:val="22"/>
          <w:szCs w:val="22"/>
        </w:rPr>
        <w:t>Real</w:t>
      </w:r>
      <w:r w:rsidRPr="00E60E24">
        <w:rPr>
          <w:rFonts w:ascii="Montserrat" w:eastAsiaTheme="minorEastAsia" w:hAnsi="Montserrat"/>
          <w:b/>
          <w:bCs/>
          <w:sz w:val="22"/>
          <w:szCs w:val="22"/>
        </w:rPr>
        <w:t>.</w:t>
      </w:r>
      <w:r w:rsidRPr="00E60E24">
        <w:rPr>
          <w:rFonts w:ascii="Montserrat" w:eastAsiaTheme="minorEastAsia" w:hAnsi="Montserrat"/>
          <w:sz w:val="22"/>
          <w:szCs w:val="22"/>
        </w:rPr>
        <w:t xml:space="preserve"> CAPM después de</w:t>
      </w:r>
      <w:r w:rsidR="00C722BD" w:rsidRPr="00E60E24">
        <w:rPr>
          <w:rFonts w:ascii="Montserrat" w:eastAsiaTheme="minorEastAsia" w:hAnsi="Montserrat"/>
          <w:sz w:val="22"/>
          <w:szCs w:val="22"/>
        </w:rPr>
        <w:t xml:space="preserve"> </w:t>
      </w:r>
      <w:r w:rsidRPr="00E60E24">
        <w:rPr>
          <w:rFonts w:ascii="Montserrat" w:eastAsiaTheme="minorEastAsia" w:hAnsi="Montserrat"/>
          <w:sz w:val="22"/>
          <w:szCs w:val="22"/>
        </w:rPr>
        <w:t>Inflación.</w:t>
      </w:r>
    </w:p>
    <w:p w14:paraId="4191ED5D" w14:textId="311E3F24" w:rsidR="00D27C9C" w:rsidRPr="00E60E24" w:rsidRDefault="00D27C9C" w:rsidP="006E294A">
      <w:pPr>
        <w:jc w:val="both"/>
        <w:rPr>
          <w:rFonts w:ascii="Montserrat" w:hAnsi="Montserrat"/>
          <w:sz w:val="22"/>
          <w:szCs w:val="22"/>
        </w:rPr>
      </w:pPr>
      <w:r w:rsidRPr="00E60E24">
        <w:rPr>
          <w:rFonts w:ascii="Montserrat" w:eastAsiaTheme="minorEastAsia" w:hAnsi="Montserrat"/>
          <w:b/>
          <w:bCs/>
          <w:sz w:val="22"/>
          <w:szCs w:val="22"/>
        </w:rPr>
        <w:t xml:space="preserve">Expectativa de </w:t>
      </w:r>
      <w:r w:rsidR="00486366" w:rsidRPr="00E60E24">
        <w:rPr>
          <w:rFonts w:ascii="Montserrat" w:eastAsiaTheme="minorEastAsia" w:hAnsi="Montserrat"/>
          <w:b/>
          <w:bCs/>
          <w:sz w:val="22"/>
          <w:szCs w:val="22"/>
        </w:rPr>
        <w:t>i</w:t>
      </w:r>
      <w:r w:rsidRPr="00E60E24">
        <w:rPr>
          <w:rFonts w:ascii="Montserrat" w:eastAsiaTheme="minorEastAsia" w:hAnsi="Montserrat"/>
          <w:b/>
          <w:bCs/>
          <w:sz w:val="22"/>
          <w:szCs w:val="22"/>
        </w:rPr>
        <w:t>nflación</w:t>
      </w:r>
      <w:r w:rsidRPr="00E60E24">
        <w:rPr>
          <w:rFonts w:ascii="Montserrat" w:eastAsiaTheme="minorEastAsia" w:hAnsi="Montserrat"/>
          <w:sz w:val="22"/>
          <w:szCs w:val="22"/>
        </w:rPr>
        <w:t xml:space="preserve">. Inflación considerada por parte del </w:t>
      </w:r>
      <w:r w:rsidRPr="00E60E24">
        <w:rPr>
          <w:rFonts w:ascii="Montserrat" w:hAnsi="Montserrat"/>
          <w:i/>
          <w:sz w:val="22"/>
        </w:rPr>
        <w:t>“</w:t>
      </w:r>
      <w:proofErr w:type="spellStart"/>
      <w:r w:rsidRPr="00E60E24">
        <w:rPr>
          <w:rFonts w:ascii="Montserrat" w:hAnsi="Montserrat"/>
          <w:i/>
          <w:sz w:val="22"/>
        </w:rPr>
        <w:t>The</w:t>
      </w:r>
      <w:proofErr w:type="spellEnd"/>
      <w:r w:rsidRPr="00E60E24">
        <w:rPr>
          <w:rFonts w:ascii="Montserrat" w:hAnsi="Montserrat"/>
          <w:i/>
          <w:sz w:val="22"/>
        </w:rPr>
        <w:t xml:space="preserve"> Budget and </w:t>
      </w:r>
      <w:proofErr w:type="spellStart"/>
      <w:r w:rsidRPr="00E60E24">
        <w:rPr>
          <w:rFonts w:ascii="Montserrat" w:hAnsi="Montserrat"/>
          <w:i/>
          <w:sz w:val="22"/>
        </w:rPr>
        <w:t>Economic</w:t>
      </w:r>
      <w:proofErr w:type="spellEnd"/>
      <w:r w:rsidRPr="00E60E24">
        <w:rPr>
          <w:rFonts w:ascii="Montserrat" w:hAnsi="Montserrat"/>
          <w:i/>
          <w:sz w:val="22"/>
        </w:rPr>
        <w:t xml:space="preserve"> Outlook”</w:t>
      </w:r>
      <w:r w:rsidRPr="00E60E24">
        <w:rPr>
          <w:rFonts w:ascii="Montserrat" w:hAnsi="Montserrat"/>
          <w:sz w:val="22"/>
          <w:szCs w:val="22"/>
        </w:rPr>
        <w:t xml:space="preserve">. </w:t>
      </w:r>
    </w:p>
    <w:p w14:paraId="4186F1CE" w14:textId="70691148" w:rsidR="00C55E14" w:rsidRPr="00E60E24" w:rsidRDefault="00D27C9C" w:rsidP="006E294A">
      <w:pPr>
        <w:jc w:val="both"/>
        <w:rPr>
          <w:rFonts w:ascii="Montserrat" w:eastAsiaTheme="minorEastAsia" w:hAnsi="Montserrat"/>
          <w:b/>
          <w:bCs/>
          <w:sz w:val="22"/>
          <w:szCs w:val="22"/>
        </w:rPr>
      </w:pPr>
      <w:r w:rsidRPr="00E60E24">
        <w:rPr>
          <w:rFonts w:ascii="Montserrat" w:eastAsiaTheme="minorEastAsia" w:hAnsi="Montserrat"/>
          <w:b/>
          <w:bCs/>
          <w:sz w:val="22"/>
          <w:szCs w:val="22"/>
        </w:rPr>
        <w:t xml:space="preserve">CAPM </w:t>
      </w:r>
      <w:r w:rsidR="00C722BD" w:rsidRPr="00E60E24">
        <w:rPr>
          <w:rFonts w:ascii="Montserrat" w:eastAsiaTheme="minorEastAsia" w:hAnsi="Montserrat"/>
          <w:b/>
          <w:bCs/>
          <w:sz w:val="22"/>
          <w:szCs w:val="22"/>
        </w:rPr>
        <w:t>Real</w:t>
      </w:r>
      <w:r w:rsidRPr="00E60E24">
        <w:rPr>
          <w:rFonts w:ascii="Montserrat" w:eastAsiaTheme="minorEastAsia" w:hAnsi="Montserrat"/>
          <w:b/>
          <w:bCs/>
          <w:sz w:val="22"/>
          <w:szCs w:val="22"/>
        </w:rPr>
        <w:t xml:space="preserve">: </w:t>
      </w:r>
      <w:r w:rsidR="0051110B" w:rsidRPr="00E60E24">
        <w:rPr>
          <w:rFonts w:ascii="Montserrat" w:eastAsiaTheme="minorEastAsia" w:hAnsi="Montserrat"/>
          <w:b/>
          <w:bCs/>
          <w:sz w:val="22"/>
          <w:szCs w:val="22"/>
        </w:rPr>
        <w:t>1</w:t>
      </w:r>
      <w:r w:rsidR="009F0A52" w:rsidRPr="00E60E24">
        <w:rPr>
          <w:rFonts w:ascii="Montserrat" w:eastAsiaTheme="minorEastAsia" w:hAnsi="Montserrat"/>
          <w:b/>
          <w:bCs/>
          <w:sz w:val="22"/>
          <w:szCs w:val="22"/>
        </w:rPr>
        <w:t>0.</w:t>
      </w:r>
      <w:r w:rsidR="00566AD1" w:rsidRPr="00E60E24">
        <w:rPr>
          <w:rFonts w:ascii="Montserrat" w:eastAsiaTheme="minorEastAsia" w:hAnsi="Montserrat"/>
          <w:b/>
          <w:bCs/>
          <w:sz w:val="22"/>
          <w:szCs w:val="22"/>
        </w:rPr>
        <w:t>68</w:t>
      </w:r>
      <w:r w:rsidRPr="00E60E24">
        <w:rPr>
          <w:rFonts w:ascii="Montserrat" w:eastAsiaTheme="minorEastAsia" w:hAnsi="Montserrat"/>
          <w:b/>
          <w:bCs/>
          <w:sz w:val="22"/>
          <w:szCs w:val="22"/>
        </w:rPr>
        <w:t>%</w:t>
      </w:r>
    </w:p>
    <w:p w14:paraId="5AB84340" w14:textId="77777777" w:rsidR="00B24CAB" w:rsidRPr="00E60E24" w:rsidRDefault="00B24CAB" w:rsidP="00D27C9C">
      <w:pPr>
        <w:pStyle w:val="Ttulo3"/>
        <w:rPr>
          <w:rFonts w:ascii="Montserrat" w:hAnsi="Montserrat"/>
          <w:color w:val="auto"/>
          <w:sz w:val="22"/>
          <w:szCs w:val="22"/>
        </w:rPr>
      </w:pPr>
    </w:p>
    <w:p w14:paraId="1875CB6E" w14:textId="5998EC90" w:rsidR="00D27C9C" w:rsidRPr="00E60E24" w:rsidRDefault="00E826EC" w:rsidP="00D27C9C">
      <w:pPr>
        <w:pStyle w:val="Ttulo3"/>
        <w:rPr>
          <w:rFonts w:ascii="Montserrat" w:hAnsi="Montserrat"/>
          <w:color w:val="auto"/>
          <w:sz w:val="22"/>
          <w:szCs w:val="22"/>
        </w:rPr>
      </w:pPr>
      <w:r w:rsidRPr="00E60E24">
        <w:rPr>
          <w:rFonts w:ascii="Montserrat" w:hAnsi="Montserrat"/>
          <w:color w:val="auto"/>
          <w:sz w:val="22"/>
          <w:szCs w:val="22"/>
        </w:rPr>
        <w:t>2. Conclusión</w:t>
      </w:r>
    </w:p>
    <w:p w14:paraId="1CC198F2" w14:textId="7AAFD9A8" w:rsidR="00D27C9C" w:rsidRPr="00E60E24" w:rsidRDefault="00D27C9C" w:rsidP="00D27C9C">
      <w:pPr>
        <w:pStyle w:val="Textoindependiente"/>
        <w:rPr>
          <w:rFonts w:ascii="Montserrat" w:hAnsi="Montserrat"/>
          <w:sz w:val="22"/>
          <w:szCs w:val="22"/>
        </w:rPr>
      </w:pPr>
      <w:r w:rsidRPr="00E60E24">
        <w:rPr>
          <w:rFonts w:ascii="Montserrat" w:hAnsi="Montserrat"/>
          <w:sz w:val="22"/>
          <w:szCs w:val="22"/>
        </w:rPr>
        <w:t xml:space="preserve">Al final, se observa una tasa de rendimiento de capital de </w:t>
      </w:r>
      <w:r w:rsidR="0051110B" w:rsidRPr="00E60E24">
        <w:rPr>
          <w:rFonts w:ascii="Montserrat" w:hAnsi="Montserrat"/>
          <w:sz w:val="22"/>
          <w:szCs w:val="22"/>
        </w:rPr>
        <w:t>1</w:t>
      </w:r>
      <w:r w:rsidR="009F0A52" w:rsidRPr="00E60E24">
        <w:rPr>
          <w:rFonts w:ascii="Montserrat" w:hAnsi="Montserrat"/>
          <w:sz w:val="22"/>
          <w:szCs w:val="22"/>
        </w:rPr>
        <w:t>0</w:t>
      </w:r>
      <w:r w:rsidRPr="00E60E24">
        <w:rPr>
          <w:rFonts w:ascii="Montserrat" w:hAnsi="Montserrat"/>
          <w:sz w:val="22"/>
          <w:szCs w:val="22"/>
        </w:rPr>
        <w:t>.</w:t>
      </w:r>
      <w:r w:rsidR="00566AD1" w:rsidRPr="00E60E24">
        <w:rPr>
          <w:rFonts w:ascii="Montserrat" w:hAnsi="Montserrat"/>
          <w:sz w:val="22"/>
          <w:szCs w:val="22"/>
        </w:rPr>
        <w:t>68</w:t>
      </w:r>
      <w:r w:rsidRPr="00E60E24">
        <w:rPr>
          <w:rFonts w:ascii="Montserrat" w:hAnsi="Montserrat"/>
          <w:sz w:val="22"/>
          <w:szCs w:val="22"/>
        </w:rPr>
        <w:t>% mismo que se observa en la tabla</w:t>
      </w:r>
      <w:r w:rsidR="0012232D" w:rsidRPr="00E60E24">
        <w:rPr>
          <w:rFonts w:ascii="Montserrat" w:hAnsi="Montserrat"/>
          <w:sz w:val="22"/>
          <w:szCs w:val="22"/>
        </w:rPr>
        <w:t xml:space="preserve"> siguiente</w:t>
      </w:r>
      <w:r w:rsidR="009F0A52" w:rsidRPr="00E60E24">
        <w:rPr>
          <w:rFonts w:ascii="Montserrat" w:hAnsi="Montserrat"/>
          <w:sz w:val="22"/>
          <w:szCs w:val="22"/>
        </w:rPr>
        <w:t>:</w:t>
      </w:r>
      <w:r w:rsidRPr="00E60E24">
        <w:rPr>
          <w:rFonts w:ascii="Montserrat" w:hAnsi="Montserrat"/>
          <w:sz w:val="22"/>
          <w:szCs w:val="22"/>
        </w:rPr>
        <w:t xml:space="preserve"> </w:t>
      </w:r>
    </w:p>
    <w:p w14:paraId="261F5ECE" w14:textId="77777777" w:rsidR="006C4BC3" w:rsidRPr="00E60E24" w:rsidRDefault="006C4BC3" w:rsidP="00D27C9C">
      <w:pPr>
        <w:pStyle w:val="Textoindependiente"/>
        <w:rPr>
          <w:rFonts w:ascii="Montserrat" w:hAnsi="Montserrat"/>
          <w:sz w:val="22"/>
          <w:szCs w:val="22"/>
        </w:rPr>
      </w:pPr>
    </w:p>
    <w:p w14:paraId="2815D1FB" w14:textId="656F4A74" w:rsidR="00D27C9C" w:rsidRPr="00E60E24" w:rsidRDefault="00746A0B" w:rsidP="00F54BD4">
      <w:pPr>
        <w:pStyle w:val="Textoindependiente"/>
        <w:spacing w:after="0"/>
        <w:ind w:left="1440" w:firstLine="720"/>
        <w:rPr>
          <w:rFonts w:ascii="Montserrat" w:hAnsi="Montserrat" w:cs="Arial"/>
          <w:bCs/>
          <w:i/>
          <w:iCs/>
          <w:sz w:val="16"/>
          <w:szCs w:val="16"/>
        </w:rPr>
      </w:pPr>
      <w:r w:rsidRPr="00E60E24">
        <w:rPr>
          <w:rFonts w:ascii="Montserrat" w:hAnsi="Montserrat" w:cs="Arial"/>
          <w:i/>
          <w:iCs/>
          <w:sz w:val="16"/>
          <w:szCs w:val="16"/>
        </w:rPr>
        <w:t xml:space="preserve">Tabla 2. </w:t>
      </w:r>
      <w:r w:rsidR="00B106C1" w:rsidRPr="00E60E24">
        <w:rPr>
          <w:rFonts w:ascii="Montserrat" w:hAnsi="Montserrat" w:cs="Arial"/>
          <w:i/>
          <w:iCs/>
          <w:sz w:val="16"/>
          <w:szCs w:val="16"/>
        </w:rPr>
        <w:t>Resumen del modelo CAPM</w:t>
      </w:r>
    </w:p>
    <w:tbl>
      <w:tblPr>
        <w:tblStyle w:val="Table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375"/>
        <w:gridCol w:w="2531"/>
      </w:tblGrid>
      <w:tr w:rsidR="00777391" w:rsidRPr="00E60E24" w14:paraId="085FAF4D" w14:textId="77777777" w:rsidTr="00F54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0" w:type="auto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14:paraId="03BD5294" w14:textId="25ED189A" w:rsidR="00777391" w:rsidRPr="00E60E24" w:rsidRDefault="007419A9" w:rsidP="00F54BD4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D9D9D9" w:themeFill="background1" w:themeFillShade="D9"/>
          </w:tcPr>
          <w:p w14:paraId="1115B223" w14:textId="473DF02D" w:rsidR="00777391" w:rsidRPr="00E60E24" w:rsidRDefault="004062B8" w:rsidP="000D2104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 xml:space="preserve">Valores para </w:t>
            </w:r>
            <w:r w:rsidR="00DC76C7" w:rsidRPr="00E60E24">
              <w:rPr>
                <w:rFonts w:ascii="Montserrat" w:hAnsi="Montserrat"/>
                <w:b/>
                <w:bCs/>
                <w:sz w:val="16"/>
                <w:szCs w:val="16"/>
              </w:rPr>
              <w:t>o</w:t>
            </w: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btener CAPM</w:t>
            </w:r>
          </w:p>
        </w:tc>
      </w:tr>
      <w:tr w:rsidR="00777391" w:rsidRPr="00E60E24" w14:paraId="03787444" w14:textId="77777777" w:rsidTr="00F54BD4">
        <w:trPr>
          <w:jc w:val="center"/>
        </w:trPr>
        <w:tc>
          <w:tcPr>
            <w:tcW w:w="0" w:type="auto"/>
          </w:tcPr>
          <w:p w14:paraId="59D4D47E" w14:textId="154B79B1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Tasa </w:t>
            </w:r>
            <w:r w:rsidR="00DC76C7" w:rsidRPr="00E60E24">
              <w:rPr>
                <w:rFonts w:ascii="Montserrat" w:hAnsi="Montserrat"/>
                <w:sz w:val="16"/>
                <w:szCs w:val="16"/>
              </w:rPr>
              <w:t>l</w:t>
            </w:r>
            <w:r w:rsidRPr="00E60E24">
              <w:rPr>
                <w:rFonts w:ascii="Montserrat" w:hAnsi="Montserrat"/>
                <w:sz w:val="16"/>
                <w:szCs w:val="16"/>
              </w:rPr>
              <w:t xml:space="preserve">ibre de </w:t>
            </w:r>
            <w:r w:rsidR="00DC76C7" w:rsidRPr="00E60E24">
              <w:rPr>
                <w:rFonts w:ascii="Montserrat" w:hAnsi="Montserrat"/>
                <w:sz w:val="16"/>
                <w:szCs w:val="16"/>
              </w:rPr>
              <w:t>r</w:t>
            </w:r>
            <w:r w:rsidRPr="00E60E24">
              <w:rPr>
                <w:rFonts w:ascii="Montserrat" w:hAnsi="Montserrat"/>
                <w:sz w:val="16"/>
                <w:szCs w:val="16"/>
              </w:rPr>
              <w:t>iesgo</w:t>
            </w:r>
            <w:r w:rsidR="00DD10E5" w:rsidRPr="00E60E24">
              <w:rPr>
                <w:rStyle w:val="Refdenotaalpie"/>
                <w:rFonts w:ascii="Montserrat" w:hAnsi="Montserrat"/>
                <w:sz w:val="16"/>
                <w:szCs w:val="16"/>
              </w:rPr>
              <w:footnoteReference w:id="4"/>
            </w:r>
          </w:p>
        </w:tc>
        <w:tc>
          <w:tcPr>
            <w:tcW w:w="0" w:type="auto"/>
          </w:tcPr>
          <w:p w14:paraId="54E8D677" w14:textId="0B88262A" w:rsidR="00777391" w:rsidRPr="00E60E24" w:rsidRDefault="00BA541A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4</w:t>
            </w:r>
            <w:r w:rsidR="004062B8" w:rsidRPr="00E60E24">
              <w:rPr>
                <w:rFonts w:ascii="Montserrat" w:hAnsi="Montserrat"/>
                <w:sz w:val="16"/>
                <w:szCs w:val="16"/>
              </w:rPr>
              <w:t>.</w:t>
            </w:r>
            <w:r w:rsidR="00566AD1" w:rsidRPr="00E60E24">
              <w:rPr>
                <w:rFonts w:ascii="Montserrat" w:hAnsi="Montserrat"/>
                <w:sz w:val="16"/>
                <w:szCs w:val="16"/>
              </w:rPr>
              <w:t>47</w:t>
            </w:r>
            <w:r w:rsidR="006E294A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7731806A" w14:textId="77777777" w:rsidTr="00F54BD4">
        <w:trPr>
          <w:jc w:val="center"/>
        </w:trPr>
        <w:tc>
          <w:tcPr>
            <w:tcW w:w="0" w:type="auto"/>
          </w:tcPr>
          <w:p w14:paraId="3F1110CC" w14:textId="4F881ABF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Beta </w:t>
            </w:r>
            <w:r w:rsidR="00465992" w:rsidRPr="00E60E24">
              <w:rPr>
                <w:rFonts w:ascii="Montserrat" w:hAnsi="Montserrat"/>
                <w:sz w:val="16"/>
                <w:szCs w:val="16"/>
              </w:rPr>
              <w:t>a</w:t>
            </w:r>
            <w:r w:rsidRPr="00E60E24">
              <w:rPr>
                <w:rFonts w:ascii="Montserrat" w:hAnsi="Montserrat"/>
                <w:sz w:val="16"/>
                <w:szCs w:val="16"/>
              </w:rPr>
              <w:t>ctivo</w:t>
            </w:r>
            <w:r w:rsidR="00465992" w:rsidRPr="00E60E24">
              <w:rPr>
                <w:rFonts w:ascii="Montserrat" w:hAnsi="Montserrat"/>
                <w:sz w:val="16"/>
                <w:szCs w:val="16"/>
              </w:rPr>
              <w:t>s</w:t>
            </w:r>
          </w:p>
        </w:tc>
        <w:tc>
          <w:tcPr>
            <w:tcW w:w="0" w:type="auto"/>
          </w:tcPr>
          <w:p w14:paraId="0CBE2F84" w14:textId="5B1E962B" w:rsidR="00777391" w:rsidRPr="00E60E24" w:rsidRDefault="00566AD1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0.66</w:t>
            </w:r>
          </w:p>
        </w:tc>
      </w:tr>
      <w:tr w:rsidR="00777391" w:rsidRPr="00E60E24" w14:paraId="05593DB5" w14:textId="77777777" w:rsidTr="00F54BD4">
        <w:trPr>
          <w:jc w:val="center"/>
        </w:trPr>
        <w:tc>
          <w:tcPr>
            <w:tcW w:w="0" w:type="auto"/>
          </w:tcPr>
          <w:p w14:paraId="41185BD1" w14:textId="50F768B1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Tasa </w:t>
            </w:r>
            <w:r w:rsidR="00465992" w:rsidRPr="00E60E24">
              <w:rPr>
                <w:rFonts w:ascii="Montserrat" w:hAnsi="Montserrat"/>
                <w:sz w:val="16"/>
                <w:szCs w:val="16"/>
              </w:rPr>
              <w:t>de impuestos</w:t>
            </w:r>
          </w:p>
        </w:tc>
        <w:tc>
          <w:tcPr>
            <w:tcW w:w="0" w:type="auto"/>
          </w:tcPr>
          <w:p w14:paraId="5E873DC3" w14:textId="3F73DC3B" w:rsidR="00777391" w:rsidRPr="00E60E24" w:rsidRDefault="00566AD1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22</w:t>
            </w:r>
            <w:r w:rsidR="006E294A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5901CB79" w14:textId="77777777" w:rsidTr="00E60E2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4BA0F064" w14:textId="5AD4951B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  <w:lang w:val="es-MX"/>
              </w:rPr>
            </w:pPr>
            <w:r w:rsidRPr="00E60E24">
              <w:rPr>
                <w:rFonts w:ascii="Montserrat" w:hAnsi="Montserrat"/>
                <w:sz w:val="16"/>
                <w:szCs w:val="16"/>
                <w:lang w:val="es-MX"/>
              </w:rPr>
              <w:t xml:space="preserve">Beta </w:t>
            </w:r>
            <w:r w:rsidR="00465992" w:rsidRPr="00E60E24">
              <w:rPr>
                <w:rFonts w:ascii="Montserrat" w:hAnsi="Montserrat"/>
                <w:sz w:val="16"/>
                <w:szCs w:val="16"/>
                <w:lang w:val="es-MX"/>
              </w:rPr>
              <w:t xml:space="preserve">activos + Riesgo </w:t>
            </w:r>
            <w:r w:rsidR="00DC76C7" w:rsidRPr="00E60E24">
              <w:rPr>
                <w:rFonts w:ascii="Montserrat" w:hAnsi="Montserrat"/>
                <w:sz w:val="16"/>
                <w:szCs w:val="16"/>
                <w:lang w:val="es-MX"/>
              </w:rPr>
              <w:t>r</w:t>
            </w:r>
            <w:r w:rsidR="00465992" w:rsidRPr="00E60E24">
              <w:rPr>
                <w:rFonts w:ascii="Montserrat" w:hAnsi="Montserrat"/>
                <w:sz w:val="16"/>
                <w:szCs w:val="16"/>
                <w:lang w:val="es-MX"/>
              </w:rPr>
              <w:t>egulatorio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330989" w14:textId="3866D7DE" w:rsidR="00777391" w:rsidRPr="00E60E24" w:rsidRDefault="00566AD1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0.86</w:t>
            </w:r>
          </w:p>
        </w:tc>
      </w:tr>
      <w:tr w:rsidR="00777391" w:rsidRPr="00E60E24" w14:paraId="44E3EA4C" w14:textId="77777777" w:rsidTr="00E60E24">
        <w:trPr>
          <w:trHeight w:val="230"/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34E7C0CB" w14:textId="4D3D0D87" w:rsidR="00777391" w:rsidRPr="00E60E24" w:rsidRDefault="00465992" w:rsidP="00461D11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Beta </w:t>
            </w:r>
            <w:proofErr w:type="spellStart"/>
            <w:r w:rsidRPr="00E60E24">
              <w:rPr>
                <w:rFonts w:ascii="Montserrat" w:hAnsi="Montserrat"/>
                <w:sz w:val="16"/>
                <w:szCs w:val="16"/>
              </w:rPr>
              <w:t>equity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9DBEB70" w14:textId="47DFB1DF" w:rsidR="00465992" w:rsidRPr="00E60E24" w:rsidRDefault="00BE0981" w:rsidP="00461D11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0.86</w:t>
            </w:r>
          </w:p>
        </w:tc>
      </w:tr>
      <w:tr w:rsidR="00BE0981" w:rsidRPr="00E60E24" w14:paraId="0E8CF022" w14:textId="77777777" w:rsidTr="00DC76C7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</w:tcPr>
          <w:p w14:paraId="4FD83CC5" w14:textId="7F5FC777" w:rsidR="00461D11" w:rsidRPr="00E60E24" w:rsidRDefault="00461D11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Tasa de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r</w:t>
            </w:r>
            <w:r w:rsidR="00DC76C7" w:rsidRPr="00E60E24">
              <w:rPr>
                <w:rFonts w:ascii="Montserrat" w:hAnsi="Montserrat"/>
                <w:sz w:val="16"/>
                <w:szCs w:val="16"/>
              </w:rPr>
              <w:t xml:space="preserve">etorno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p</w:t>
            </w:r>
            <w:r w:rsidR="00DC76C7" w:rsidRPr="00E60E24">
              <w:rPr>
                <w:rFonts w:ascii="Montserrat" w:hAnsi="Montserrat"/>
                <w:sz w:val="16"/>
                <w:szCs w:val="16"/>
              </w:rPr>
              <w:t>romedio</w:t>
            </w:r>
            <w:r w:rsidR="00BE0981" w:rsidRPr="00E60E24">
              <w:rPr>
                <w:rFonts w:ascii="Montserrat" w:hAnsi="Montserrat"/>
                <w:sz w:val="16"/>
                <w:szCs w:val="16"/>
              </w:rPr>
              <w:t xml:space="preserve"> </w:t>
            </w:r>
            <w:r w:rsidRPr="00E60E24">
              <w:rPr>
                <w:rFonts w:ascii="Montserrat" w:hAnsi="Montserrat"/>
                <w:sz w:val="16"/>
                <w:szCs w:val="16"/>
              </w:rPr>
              <w:t xml:space="preserve">de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m</w:t>
            </w:r>
            <w:r w:rsidR="00DC76C7" w:rsidRPr="00E60E24">
              <w:rPr>
                <w:rFonts w:ascii="Montserrat" w:hAnsi="Montserrat"/>
                <w:sz w:val="16"/>
                <w:szCs w:val="16"/>
              </w:rPr>
              <w:t>ercado</w:t>
            </w:r>
            <w:r w:rsidR="003523D0" w:rsidRPr="00E60E24">
              <w:rPr>
                <w:rStyle w:val="Refdenotaalpie"/>
                <w:rFonts w:ascii="Montserrat" w:hAnsi="Montserrat"/>
                <w:sz w:val="16"/>
                <w:szCs w:val="16"/>
              </w:rPr>
              <w:footnoteReference w:id="5"/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5A03FF0" w14:textId="187409F5" w:rsidR="00461D11" w:rsidRPr="00E60E24" w:rsidRDefault="00461D11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11.</w:t>
            </w:r>
            <w:r w:rsidR="00BE0981" w:rsidRPr="00E60E24">
              <w:rPr>
                <w:rFonts w:ascii="Montserrat" w:hAnsi="Montserrat"/>
                <w:sz w:val="16"/>
                <w:szCs w:val="16"/>
              </w:rPr>
              <w:t>43</w:t>
            </w:r>
            <w:r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67AE9C74" w14:textId="77777777" w:rsidTr="00F54BD4">
        <w:trPr>
          <w:jc w:val="center"/>
        </w:trPr>
        <w:tc>
          <w:tcPr>
            <w:tcW w:w="0" w:type="auto"/>
          </w:tcPr>
          <w:p w14:paraId="76A051CE" w14:textId="6843BFB2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Prima de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r</w:t>
            </w:r>
            <w:r w:rsidRPr="00E60E24">
              <w:rPr>
                <w:rFonts w:ascii="Montserrat" w:hAnsi="Montserrat"/>
                <w:sz w:val="16"/>
                <w:szCs w:val="16"/>
              </w:rPr>
              <w:t xml:space="preserve">iesgo de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m</w:t>
            </w:r>
            <w:r w:rsidRPr="00E60E24">
              <w:rPr>
                <w:rFonts w:ascii="Montserrat" w:hAnsi="Montserrat"/>
                <w:sz w:val="16"/>
                <w:szCs w:val="16"/>
              </w:rPr>
              <w:t>ercado</w:t>
            </w:r>
          </w:p>
        </w:tc>
        <w:tc>
          <w:tcPr>
            <w:tcW w:w="0" w:type="auto"/>
          </w:tcPr>
          <w:p w14:paraId="7F6F30C3" w14:textId="0A1E02D5" w:rsidR="00777391" w:rsidRPr="00E60E24" w:rsidRDefault="00BA541A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6</w:t>
            </w:r>
            <w:r w:rsidR="004062B8" w:rsidRPr="00E60E24">
              <w:rPr>
                <w:rFonts w:ascii="Montserrat" w:hAnsi="Montserrat"/>
                <w:sz w:val="16"/>
                <w:szCs w:val="16"/>
              </w:rPr>
              <w:t>.</w:t>
            </w:r>
            <w:r w:rsidR="00BE0981" w:rsidRPr="00E60E24">
              <w:rPr>
                <w:rFonts w:ascii="Montserrat" w:hAnsi="Montserrat"/>
                <w:sz w:val="16"/>
                <w:szCs w:val="16"/>
              </w:rPr>
              <w:t>97</w:t>
            </w:r>
            <w:r w:rsidR="006E294A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6CE9E8A3" w14:textId="77777777" w:rsidTr="00F54BD4">
        <w:trPr>
          <w:jc w:val="center"/>
        </w:trPr>
        <w:tc>
          <w:tcPr>
            <w:tcW w:w="0" w:type="auto"/>
          </w:tcPr>
          <w:p w14:paraId="30B4F279" w14:textId="31EBEF34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Riesgo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p</w:t>
            </w:r>
            <w:r w:rsidR="00C55E14" w:rsidRPr="00E60E24">
              <w:rPr>
                <w:rFonts w:ascii="Montserrat" w:hAnsi="Montserrat"/>
                <w:sz w:val="16"/>
                <w:szCs w:val="16"/>
              </w:rPr>
              <w:t>aís</w:t>
            </w:r>
            <w:r w:rsidR="0011208C" w:rsidRPr="00E60E24">
              <w:rPr>
                <w:rStyle w:val="Refdenotaalpie"/>
                <w:rFonts w:ascii="Montserrat" w:hAnsi="Montserrat"/>
                <w:sz w:val="16"/>
                <w:szCs w:val="16"/>
              </w:rPr>
              <w:footnoteReference w:id="6"/>
            </w:r>
          </w:p>
        </w:tc>
        <w:tc>
          <w:tcPr>
            <w:tcW w:w="0" w:type="auto"/>
          </w:tcPr>
          <w:p w14:paraId="28C6C7C0" w14:textId="434477A8" w:rsidR="00777391" w:rsidRPr="00E60E24" w:rsidRDefault="008604FF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</w:t>
            </w:r>
            <w:r w:rsidR="004062B8" w:rsidRPr="00E60E24">
              <w:rPr>
                <w:rFonts w:ascii="Montserrat" w:hAnsi="Montserrat"/>
                <w:sz w:val="16"/>
                <w:szCs w:val="16"/>
              </w:rPr>
              <w:t>.</w:t>
            </w:r>
            <w:r w:rsidR="00BE0981" w:rsidRPr="00E60E24">
              <w:rPr>
                <w:rFonts w:ascii="Montserrat" w:hAnsi="Montserrat"/>
                <w:sz w:val="16"/>
                <w:szCs w:val="16"/>
              </w:rPr>
              <w:t>99</w:t>
            </w:r>
            <w:r w:rsidR="00C55E14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4EB9A347" w14:textId="77777777" w:rsidTr="00F54BD4">
        <w:trPr>
          <w:jc w:val="center"/>
        </w:trPr>
        <w:tc>
          <w:tcPr>
            <w:tcW w:w="0" w:type="auto"/>
          </w:tcPr>
          <w:p w14:paraId="648EB7E3" w14:textId="34AF32BC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Riesgo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r</w:t>
            </w:r>
            <w:r w:rsidRPr="00E60E24">
              <w:rPr>
                <w:rFonts w:ascii="Montserrat" w:hAnsi="Montserrat"/>
                <w:sz w:val="16"/>
                <w:szCs w:val="16"/>
              </w:rPr>
              <w:t>egulatorio</w:t>
            </w:r>
          </w:p>
        </w:tc>
        <w:tc>
          <w:tcPr>
            <w:tcW w:w="0" w:type="auto"/>
          </w:tcPr>
          <w:p w14:paraId="52317746" w14:textId="222AA933" w:rsidR="00777391" w:rsidRPr="00E60E24" w:rsidRDefault="004062B8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20</w:t>
            </w:r>
            <w:r w:rsidR="00C55E14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119D1CFB" w14:textId="77777777" w:rsidTr="00F54BD4">
        <w:trPr>
          <w:jc w:val="center"/>
        </w:trPr>
        <w:tc>
          <w:tcPr>
            <w:tcW w:w="0" w:type="auto"/>
          </w:tcPr>
          <w:p w14:paraId="42B9B562" w14:textId="7F5FDE37" w:rsidR="00777391" w:rsidRPr="00E60E24" w:rsidRDefault="00465992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 xml:space="preserve">Costo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c</w:t>
            </w:r>
            <w:r w:rsidRPr="00E60E24">
              <w:rPr>
                <w:rFonts w:ascii="Montserrat" w:hAnsi="Montserrat"/>
                <w:sz w:val="16"/>
                <w:szCs w:val="16"/>
              </w:rPr>
              <w:t xml:space="preserve">apital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p</w:t>
            </w:r>
            <w:r w:rsidRPr="00E60E24">
              <w:rPr>
                <w:rFonts w:ascii="Montserrat" w:hAnsi="Montserrat"/>
                <w:sz w:val="16"/>
                <w:szCs w:val="16"/>
              </w:rPr>
              <w:t xml:space="preserve">ropio </w:t>
            </w:r>
            <w:r w:rsidR="00D8175B" w:rsidRPr="00E60E24">
              <w:rPr>
                <w:rFonts w:ascii="Montserrat" w:hAnsi="Montserrat"/>
                <w:sz w:val="16"/>
                <w:szCs w:val="16"/>
              </w:rPr>
              <w:t>n</w:t>
            </w:r>
            <w:r w:rsidRPr="00E60E24">
              <w:rPr>
                <w:rFonts w:ascii="Montserrat" w:hAnsi="Montserrat"/>
                <w:sz w:val="16"/>
                <w:szCs w:val="16"/>
              </w:rPr>
              <w:t>ominal</w:t>
            </w:r>
          </w:p>
        </w:tc>
        <w:tc>
          <w:tcPr>
            <w:tcW w:w="0" w:type="auto"/>
          </w:tcPr>
          <w:p w14:paraId="69703B3A" w14:textId="1C0F3CFF" w:rsidR="00777391" w:rsidRPr="00E60E24" w:rsidRDefault="00465992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1</w:t>
            </w:r>
            <w:r w:rsidR="00BE0981" w:rsidRPr="00E60E24">
              <w:rPr>
                <w:rFonts w:ascii="Montserrat" w:hAnsi="Montserrat"/>
                <w:sz w:val="16"/>
                <w:szCs w:val="16"/>
              </w:rPr>
              <w:t>3.42</w:t>
            </w:r>
            <w:r w:rsidR="00C55E14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4009C40C" w14:textId="77777777" w:rsidTr="00F54BD4">
        <w:trPr>
          <w:jc w:val="center"/>
        </w:trPr>
        <w:tc>
          <w:tcPr>
            <w:tcW w:w="0" w:type="auto"/>
          </w:tcPr>
          <w:p w14:paraId="536D74CA" w14:textId="033D67CD" w:rsidR="00777391" w:rsidRPr="00E60E24" w:rsidRDefault="00465992" w:rsidP="00F54BD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Inflación</w:t>
            </w:r>
            <w:r w:rsidR="00DC1634" w:rsidRPr="00E60E24">
              <w:rPr>
                <w:rStyle w:val="Refdenotaalpie"/>
                <w:rFonts w:ascii="Montserrat" w:hAnsi="Montserrat"/>
                <w:sz w:val="16"/>
                <w:szCs w:val="16"/>
              </w:rPr>
              <w:footnoteReference w:id="7"/>
            </w:r>
          </w:p>
        </w:tc>
        <w:tc>
          <w:tcPr>
            <w:tcW w:w="0" w:type="auto"/>
          </w:tcPr>
          <w:p w14:paraId="29265EA6" w14:textId="39F6DB56" w:rsidR="00777391" w:rsidRPr="00E60E24" w:rsidRDefault="00BE0981" w:rsidP="000D2104">
            <w:pPr>
              <w:pStyle w:val="Compact"/>
              <w:jc w:val="center"/>
              <w:rPr>
                <w:rFonts w:ascii="Montserrat" w:hAnsi="Montserrat"/>
                <w:sz w:val="16"/>
                <w:szCs w:val="16"/>
              </w:rPr>
            </w:pPr>
            <w:r w:rsidRPr="00E60E24">
              <w:rPr>
                <w:rFonts w:ascii="Montserrat" w:hAnsi="Montserrat"/>
                <w:sz w:val="16"/>
                <w:szCs w:val="16"/>
              </w:rPr>
              <w:t>2.48</w:t>
            </w:r>
            <w:r w:rsidR="00C55E14" w:rsidRPr="00E60E24">
              <w:rPr>
                <w:rFonts w:ascii="Montserrat" w:hAnsi="Montserrat"/>
                <w:sz w:val="16"/>
                <w:szCs w:val="16"/>
              </w:rPr>
              <w:t>%</w:t>
            </w:r>
          </w:p>
        </w:tc>
      </w:tr>
      <w:tr w:rsidR="00777391" w:rsidRPr="00E60E24" w14:paraId="73310848" w14:textId="77777777" w:rsidTr="00F54BD4">
        <w:trPr>
          <w:jc w:val="center"/>
        </w:trPr>
        <w:tc>
          <w:tcPr>
            <w:tcW w:w="0" w:type="auto"/>
          </w:tcPr>
          <w:p w14:paraId="77C72C2B" w14:textId="77777777" w:rsidR="00FA72DB" w:rsidRPr="00E60E24" w:rsidRDefault="00FA72DB" w:rsidP="00F54BD4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</w:p>
          <w:p w14:paraId="51B2CD9C" w14:textId="3F3176DA" w:rsidR="00777391" w:rsidRPr="00E60E24" w:rsidRDefault="004062B8" w:rsidP="00F54BD4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 xml:space="preserve">Costo </w:t>
            </w:r>
            <w:r w:rsidR="00D8175B" w:rsidRPr="00E60E24">
              <w:rPr>
                <w:rFonts w:ascii="Montserrat" w:hAnsi="Montserrat"/>
                <w:b/>
                <w:bCs/>
                <w:sz w:val="16"/>
                <w:szCs w:val="16"/>
              </w:rPr>
              <w:t>c</w:t>
            </w: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 xml:space="preserve">apital </w:t>
            </w:r>
            <w:r w:rsidR="00D8175B" w:rsidRPr="00E60E24">
              <w:rPr>
                <w:rFonts w:ascii="Montserrat" w:hAnsi="Montserrat"/>
                <w:b/>
                <w:bCs/>
                <w:sz w:val="16"/>
                <w:szCs w:val="16"/>
              </w:rPr>
              <w:t>p</w:t>
            </w: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 xml:space="preserve">ropio </w:t>
            </w:r>
            <w:r w:rsidR="00D8175B" w:rsidRPr="00E60E24">
              <w:rPr>
                <w:rFonts w:ascii="Montserrat" w:hAnsi="Montserrat"/>
                <w:b/>
                <w:bCs/>
                <w:sz w:val="16"/>
                <w:szCs w:val="16"/>
              </w:rPr>
              <w:t>r</w:t>
            </w: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 xml:space="preserve">eal </w:t>
            </w:r>
            <w:r w:rsidR="00D27C9C" w:rsidRPr="00E60E24">
              <w:rPr>
                <w:rFonts w:ascii="Montserrat" w:hAnsi="Montserrat"/>
                <w:b/>
                <w:bCs/>
                <w:sz w:val="16"/>
                <w:szCs w:val="16"/>
              </w:rPr>
              <w:t>(</w:t>
            </w: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CAPM)</w:t>
            </w:r>
          </w:p>
        </w:tc>
        <w:tc>
          <w:tcPr>
            <w:tcW w:w="0" w:type="auto"/>
          </w:tcPr>
          <w:p w14:paraId="3C2588C0" w14:textId="77777777" w:rsidR="00FA72DB" w:rsidRPr="00E60E24" w:rsidRDefault="00FA72DB" w:rsidP="000D2104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</w:p>
          <w:p w14:paraId="5386BDED" w14:textId="67A961C2" w:rsidR="00777391" w:rsidRPr="00E60E24" w:rsidRDefault="0051110B" w:rsidP="000D2104">
            <w:pPr>
              <w:pStyle w:val="Compact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E60E24">
              <w:rPr>
                <w:rFonts w:ascii="Montserrat" w:hAnsi="Montserrat"/>
                <w:b/>
                <w:bCs/>
                <w:sz w:val="16"/>
                <w:szCs w:val="16"/>
              </w:rPr>
              <w:t>1</w:t>
            </w:r>
            <w:r w:rsidR="00C64206" w:rsidRPr="00E60E24">
              <w:rPr>
                <w:rFonts w:ascii="Montserrat" w:hAnsi="Montserrat"/>
                <w:b/>
                <w:bCs/>
                <w:sz w:val="16"/>
                <w:szCs w:val="16"/>
              </w:rPr>
              <w:t>0</w:t>
            </w:r>
            <w:r w:rsidR="004062B8" w:rsidRPr="00E60E24">
              <w:rPr>
                <w:rFonts w:ascii="Montserrat" w:hAnsi="Montserrat"/>
                <w:b/>
                <w:bCs/>
                <w:sz w:val="16"/>
                <w:szCs w:val="16"/>
              </w:rPr>
              <w:t>.</w:t>
            </w:r>
            <w:r w:rsidR="00BE0981" w:rsidRPr="00E60E24">
              <w:rPr>
                <w:rFonts w:ascii="Montserrat" w:hAnsi="Montserrat"/>
                <w:b/>
                <w:bCs/>
                <w:sz w:val="16"/>
                <w:szCs w:val="16"/>
              </w:rPr>
              <w:t>68</w:t>
            </w:r>
            <w:r w:rsidR="00C55E14" w:rsidRPr="00E60E24">
              <w:rPr>
                <w:rFonts w:ascii="Montserrat" w:hAnsi="Montserrat"/>
                <w:b/>
                <w:bCs/>
                <w:sz w:val="16"/>
                <w:szCs w:val="16"/>
              </w:rPr>
              <w:t>%</w:t>
            </w:r>
          </w:p>
        </w:tc>
      </w:tr>
    </w:tbl>
    <w:p w14:paraId="1F9A609C" w14:textId="77777777" w:rsidR="00721BFD" w:rsidRPr="00E60E24" w:rsidRDefault="00721BFD" w:rsidP="00721BFD">
      <w:pPr>
        <w:pStyle w:val="Titulotablas"/>
        <w:jc w:val="both"/>
        <w:rPr>
          <w:b/>
          <w:bCs/>
          <w:i w:val="0"/>
          <w:iCs/>
          <w:sz w:val="22"/>
          <w:szCs w:val="22"/>
        </w:rPr>
      </w:pPr>
      <w:bookmarkStart w:id="14" w:name="_Toc120724260"/>
      <w:bookmarkEnd w:id="0"/>
      <w:bookmarkEnd w:id="8"/>
      <w:bookmarkEnd w:id="11"/>
    </w:p>
    <w:p w14:paraId="66A18827" w14:textId="3896AE2B" w:rsidR="00165315" w:rsidRPr="00E60E24" w:rsidRDefault="00165315" w:rsidP="00E60E24">
      <w:pPr>
        <w:pStyle w:val="Titulotablas"/>
        <w:numPr>
          <w:ilvl w:val="0"/>
          <w:numId w:val="16"/>
        </w:numPr>
        <w:jc w:val="both"/>
        <w:rPr>
          <w:b/>
          <w:bCs/>
          <w:i w:val="0"/>
          <w:iCs/>
          <w:sz w:val="22"/>
          <w:szCs w:val="22"/>
        </w:rPr>
      </w:pPr>
      <w:r w:rsidRPr="00E60E24">
        <w:rPr>
          <w:b/>
          <w:bCs/>
          <w:i w:val="0"/>
          <w:iCs/>
          <w:sz w:val="22"/>
          <w:szCs w:val="22"/>
        </w:rPr>
        <w:t>Actualización de la estimación del costo de capital real propio aplicable</w:t>
      </w:r>
      <w:bookmarkEnd w:id="14"/>
      <w:r w:rsidRPr="00E60E24">
        <w:rPr>
          <w:b/>
          <w:bCs/>
          <w:i w:val="0"/>
          <w:iCs/>
          <w:sz w:val="22"/>
          <w:szCs w:val="22"/>
        </w:rPr>
        <w:t xml:space="preserve"> </w:t>
      </w:r>
    </w:p>
    <w:p w14:paraId="5DF13A13" w14:textId="77777777" w:rsidR="00165315" w:rsidRPr="00E60E24" w:rsidRDefault="00165315" w:rsidP="00165315">
      <w:pPr>
        <w:spacing w:line="276" w:lineRule="auto"/>
        <w:jc w:val="both"/>
        <w:rPr>
          <w:rFonts w:ascii="Montserrat" w:hAnsi="Montserrat"/>
          <w:sz w:val="22"/>
          <w:szCs w:val="22"/>
        </w:rPr>
      </w:pPr>
    </w:p>
    <w:p w14:paraId="0A4DD90D" w14:textId="77777777" w:rsidR="00165315" w:rsidRDefault="00165315" w:rsidP="00165315">
      <w:pPr>
        <w:spacing w:line="276" w:lineRule="auto"/>
        <w:jc w:val="both"/>
        <w:rPr>
          <w:rFonts w:ascii="Montserrat" w:hAnsi="Montserrat" w:cs="Arial"/>
          <w:sz w:val="22"/>
          <w:szCs w:val="22"/>
        </w:rPr>
      </w:pPr>
      <w:r w:rsidRPr="00E60E24">
        <w:rPr>
          <w:rFonts w:ascii="Montserrat" w:hAnsi="Montserrat" w:cs="Arial"/>
          <w:sz w:val="22"/>
          <w:szCs w:val="22"/>
        </w:rPr>
        <w:t>A efecto de reflejar una actualización de las condiciones macroeconómicas y del mercado, la Comisión revisará cada 5 (cinco) años los parámetros de la estimación del costo de capital, bajo los criterios definidos en el presente Anexo. Se considera que, debido a los cambios en el mercado de referencia, la muestra de empresas seleccionada sea susceptible de actualizarse.</w:t>
      </w:r>
    </w:p>
    <w:p w14:paraId="3B17B488" w14:textId="42FE7087" w:rsidR="004062B8" w:rsidRPr="00F54BD4" w:rsidRDefault="004062B8" w:rsidP="006E294A">
      <w:pPr>
        <w:jc w:val="both"/>
        <w:rPr>
          <w:rFonts w:ascii="Montserrat" w:hAnsi="Montserrat"/>
          <w:sz w:val="22"/>
          <w:szCs w:val="22"/>
        </w:rPr>
      </w:pPr>
    </w:p>
    <w:sectPr w:rsidR="004062B8" w:rsidRPr="00F54BD4">
      <w:headerReference w:type="default" r:id="rId12"/>
      <w:footerReference w:type="default" r:id="rId13"/>
      <w:pgSz w:w="12240" w:h="15840"/>
      <w:pgMar w:top="1417" w:right="1701" w:bottom="1417" w:left="1701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2" w:author="Eduardo Gutierrez Sicardo" w:date="2024-08-07T18:05:00Z" w:initials="EG">
    <w:p w14:paraId="2FAD9A6F" w14:textId="77777777" w:rsidR="007D370E" w:rsidRDefault="00B93C30" w:rsidP="007D370E">
      <w:pPr>
        <w:pStyle w:val="Textocomentario"/>
      </w:pPr>
      <w:r>
        <w:rPr>
          <w:rStyle w:val="Refdecomentario"/>
        </w:rPr>
        <w:annotationRef/>
      </w:r>
      <w:r w:rsidR="007D370E">
        <w:rPr>
          <w:lang w:val="es-ES"/>
        </w:rPr>
        <w:t xml:space="preserve">En la presente disposición, establece que la  metodología general para el ajuste anual de las tarifas máximas por inflación y tipo de cambio se hará anualmente a solicitud del permisionario,  ¿estas expectativas de inflación serian variables año con año o serían especificas del periodo 2023 al 2027 con una tasa de inflación de 2.48%? </w:t>
      </w:r>
    </w:p>
  </w:comment>
  <w:comment w:id="13" w:author="CTP" w:date="2024-08-08T14:22:00Z" w:initials="CTP">
    <w:p w14:paraId="04F3098C" w14:textId="77777777" w:rsidR="00B77CFD" w:rsidRDefault="00496409" w:rsidP="00B77CFD">
      <w:pPr>
        <w:pStyle w:val="Textocomentario"/>
      </w:pPr>
      <w:r>
        <w:rPr>
          <w:rStyle w:val="Refdecomentario"/>
        </w:rPr>
        <w:annotationRef/>
      </w:r>
      <w:r w:rsidR="00B77CFD">
        <w:rPr>
          <w:lang w:val="es-ES"/>
        </w:rPr>
        <w:t>Se pone a su consideración que la presente tasa de inflación corresponde a la metodología para el cálculo del CAPM y no guarda ninguna relación con la Sección F de las DACGS, toda vez que la Sección referida contempla su propia metodología de cálculo de ajuste anual con base en variaciones del INPC, el CPI y el Tipo de Cambio.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FAD9A6F" w15:done="0"/>
  <w15:commentEx w15:paraId="04F3098C" w15:paraIdParent="2FAD9A6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E4BF357" w16cex:dateUtc="2024-08-08T00:05:00Z"/>
  <w16cex:commentExtensible w16cex:durableId="051BCE5D" w16cex:dateUtc="2024-08-08T2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FAD9A6F" w16cid:durableId="5E4BF357"/>
  <w16cid:commentId w16cid:paraId="04F3098C" w16cid:durableId="051BCE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10DD0" w14:textId="77777777" w:rsidR="00BC37EB" w:rsidRDefault="00BC37EB">
      <w:pPr>
        <w:spacing w:after="0"/>
      </w:pPr>
      <w:r>
        <w:separator/>
      </w:r>
    </w:p>
  </w:endnote>
  <w:endnote w:type="continuationSeparator" w:id="0">
    <w:p w14:paraId="5C381B77" w14:textId="77777777" w:rsidR="00BC37EB" w:rsidRDefault="00BC37EB">
      <w:pPr>
        <w:spacing w:after="0"/>
      </w:pPr>
      <w:r>
        <w:continuationSeparator/>
      </w:r>
    </w:p>
  </w:endnote>
  <w:endnote w:type="continuationNotice" w:id="1">
    <w:p w14:paraId="7F05695C" w14:textId="77777777" w:rsidR="00BC37EB" w:rsidRDefault="00BC37E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80334" w14:textId="77777777" w:rsidR="00400EA7" w:rsidRDefault="00400EA7" w:rsidP="00E60E24">
    <w:pPr>
      <w:pStyle w:val="Titulotabla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398C9" w14:textId="77777777" w:rsidR="00BC37EB" w:rsidRDefault="00BC37EB">
      <w:r>
        <w:separator/>
      </w:r>
    </w:p>
  </w:footnote>
  <w:footnote w:type="continuationSeparator" w:id="0">
    <w:p w14:paraId="03F054AB" w14:textId="77777777" w:rsidR="00BC37EB" w:rsidRDefault="00BC37EB">
      <w:r>
        <w:continuationSeparator/>
      </w:r>
    </w:p>
  </w:footnote>
  <w:footnote w:type="continuationNotice" w:id="1">
    <w:p w14:paraId="588E0BF8" w14:textId="77777777" w:rsidR="00BC37EB" w:rsidRDefault="00BC37EB">
      <w:pPr>
        <w:spacing w:after="0"/>
      </w:pPr>
    </w:p>
  </w:footnote>
  <w:footnote w:id="2">
    <w:p w14:paraId="59D8E7AB" w14:textId="37BCE230" w:rsidR="00BA7439" w:rsidRPr="00E60E24" w:rsidRDefault="00BA7439" w:rsidP="00E60E24">
      <w:pPr>
        <w:pStyle w:val="Textonotapie"/>
        <w:jc w:val="both"/>
        <w:rPr>
          <w:rFonts w:ascii="Montserrat" w:hAnsi="Montserrat"/>
          <w:lang w:val="en-US"/>
        </w:rPr>
      </w:pPr>
      <w:r w:rsidRPr="00E60E24">
        <w:rPr>
          <w:rStyle w:val="Refdenotaalpie"/>
          <w:rFonts w:ascii="Montserrat" w:hAnsi="Montserrat"/>
          <w:sz w:val="16"/>
          <w:szCs w:val="16"/>
        </w:rPr>
        <w:footnoteRef/>
      </w:r>
      <w:r w:rsidRPr="00E60E24">
        <w:rPr>
          <w:rFonts w:ascii="Montserrat" w:hAnsi="Montserrat"/>
          <w:sz w:val="16"/>
          <w:szCs w:val="16"/>
          <w:lang w:val="en-US"/>
        </w:rPr>
        <w:t xml:space="preserve"> </w:t>
      </w:r>
      <w:r w:rsidR="0074481E" w:rsidRPr="00E60E24">
        <w:rPr>
          <w:rFonts w:ascii="Montserrat" w:hAnsi="Montserrat"/>
          <w:sz w:val="16"/>
          <w:szCs w:val="16"/>
          <w:lang w:val="en-US"/>
        </w:rPr>
        <w:t xml:space="preserve">Ross, S., </w:t>
      </w:r>
      <w:proofErr w:type="spellStart"/>
      <w:r w:rsidR="0074481E" w:rsidRPr="00E60E24">
        <w:rPr>
          <w:rFonts w:ascii="Montserrat" w:hAnsi="Montserrat"/>
          <w:sz w:val="16"/>
          <w:szCs w:val="16"/>
          <w:lang w:val="en-US"/>
        </w:rPr>
        <w:t>Westerfield</w:t>
      </w:r>
      <w:proofErr w:type="spellEnd"/>
      <w:r w:rsidR="0074481E" w:rsidRPr="00E60E24">
        <w:rPr>
          <w:rFonts w:ascii="Montserrat" w:hAnsi="Montserrat"/>
          <w:sz w:val="16"/>
          <w:szCs w:val="16"/>
          <w:lang w:val="en-US"/>
        </w:rPr>
        <w:t>, R., Jaffe, J., y Jordan, B. (2018). Finanzas corporativas (11.a ed.). McGraw-Hill Interamericana.</w:t>
      </w:r>
    </w:p>
  </w:footnote>
  <w:footnote w:id="3">
    <w:p w14:paraId="604A92B3" w14:textId="1655F808" w:rsidR="008007E8" w:rsidRPr="00E60E24" w:rsidRDefault="008007E8" w:rsidP="00F43515">
      <w:pPr>
        <w:pStyle w:val="Textonotapie"/>
        <w:jc w:val="both"/>
        <w:rPr>
          <w:rFonts w:ascii="Montserrat" w:hAnsi="Montserrat"/>
          <w:sz w:val="16"/>
          <w:szCs w:val="16"/>
          <w:lang w:val="es-MX"/>
        </w:rPr>
      </w:pPr>
      <w:r w:rsidRPr="00E60E24">
        <w:rPr>
          <w:rStyle w:val="Refdenotaalpie"/>
          <w:rFonts w:ascii="Montserrat" w:hAnsi="Montserrat"/>
          <w:sz w:val="16"/>
          <w:szCs w:val="16"/>
        </w:rPr>
        <w:footnoteRef/>
      </w:r>
      <w:r w:rsidRPr="00E60E24">
        <w:rPr>
          <w:rFonts w:ascii="Montserrat" w:hAnsi="Montserrat"/>
          <w:sz w:val="16"/>
          <w:szCs w:val="16"/>
          <w:lang w:val="en-US"/>
        </w:rPr>
        <w:t xml:space="preserve"> </w:t>
      </w:r>
      <w:r w:rsidR="00F43515" w:rsidRPr="00E60E24">
        <w:rPr>
          <w:rFonts w:ascii="Montserrat" w:hAnsi="Montserrat"/>
          <w:sz w:val="16"/>
          <w:szCs w:val="16"/>
          <w:lang w:val="en-US"/>
        </w:rPr>
        <w:t xml:space="preserve">Hetherington, B. (1992). "Estimating the Rate of Return for Gas Trasnportation." </w:t>
      </w:r>
      <w:r w:rsidR="00F43515" w:rsidRPr="00E60E24">
        <w:rPr>
          <w:rFonts w:ascii="Montserrat" w:hAnsi="Montserrat"/>
          <w:sz w:val="16"/>
          <w:lang w:val="es-MX"/>
        </w:rPr>
        <w:t>U.K, Office of Gas Supply.</w:t>
      </w:r>
    </w:p>
  </w:footnote>
  <w:footnote w:id="4">
    <w:p w14:paraId="600BAD62" w14:textId="11C681C1" w:rsidR="00DD10E5" w:rsidRPr="00E60E24" w:rsidRDefault="00DD10E5" w:rsidP="00E60E24">
      <w:pPr>
        <w:rPr>
          <w:rFonts w:ascii="Montserrat" w:eastAsia="Times New Roman" w:hAnsi="Montserrat" w:cs="Arial"/>
          <w:b/>
          <w:bCs/>
          <w:sz w:val="16"/>
          <w:szCs w:val="16"/>
          <w:lang w:val="es-MX" w:eastAsia="es-MX"/>
        </w:rPr>
      </w:pPr>
      <w:r w:rsidRPr="00E60E24">
        <w:rPr>
          <w:rStyle w:val="Refdenotaalpie"/>
          <w:rFonts w:ascii="Montserrat" w:hAnsi="Montserrat"/>
          <w:sz w:val="18"/>
          <w:szCs w:val="18"/>
        </w:rPr>
        <w:footnoteRef/>
      </w:r>
      <w:r w:rsidRPr="00E60E24">
        <w:rPr>
          <w:rFonts w:ascii="Montserrat" w:hAnsi="Montserrat"/>
          <w:sz w:val="16"/>
          <w:szCs w:val="16"/>
        </w:rPr>
        <w:t xml:space="preserve"> </w:t>
      </w:r>
      <w:r w:rsidR="004410DD" w:rsidRPr="00E60E24">
        <w:rPr>
          <w:rFonts w:ascii="Montserrat" w:hAnsi="Montserrat"/>
          <w:sz w:val="16"/>
          <w:szCs w:val="16"/>
        </w:rPr>
        <w:t>Para el cálculo</w:t>
      </w:r>
      <w:r w:rsidR="00B70E8D" w:rsidRPr="00E60E24">
        <w:rPr>
          <w:rFonts w:ascii="Montserrat" w:hAnsi="Montserrat"/>
          <w:sz w:val="16"/>
          <w:szCs w:val="16"/>
        </w:rPr>
        <w:t xml:space="preserve"> se tomaron datos de la página: </w:t>
      </w:r>
      <w:r w:rsidR="00B70E8D" w:rsidRPr="00E60E24">
        <w:rPr>
          <w:rFonts w:ascii="Montserrat" w:eastAsia="Times New Roman" w:hAnsi="Montserrat" w:cs="Arial"/>
          <w:b/>
          <w:bCs/>
          <w:sz w:val="16"/>
          <w:szCs w:val="16"/>
          <w:lang w:val="es-MX" w:eastAsia="es-MX"/>
        </w:rPr>
        <w:t>https://www.federalreserve.gov/datadownload/Preview.aspx?pi=400&amp;rel=H15&amp;preview=H15/H15/RIFLGFCY30_N.B</w:t>
      </w:r>
    </w:p>
  </w:footnote>
  <w:footnote w:id="5">
    <w:p w14:paraId="48E84DC4" w14:textId="26333A0C" w:rsidR="003523D0" w:rsidRPr="00E60E24" w:rsidRDefault="003523D0">
      <w:pPr>
        <w:pStyle w:val="Textonotapie"/>
        <w:rPr>
          <w:lang w:val="es-MX"/>
        </w:rPr>
      </w:pPr>
      <w:r w:rsidRPr="00E60E24">
        <w:rPr>
          <w:rStyle w:val="Refdenotaalpie"/>
          <w:rFonts w:ascii="Montserrat" w:hAnsi="Montserrat"/>
          <w:sz w:val="18"/>
          <w:szCs w:val="18"/>
        </w:rPr>
        <w:footnoteRef/>
      </w:r>
      <w:r w:rsidRPr="00E60E24">
        <w:t xml:space="preserve"> </w:t>
      </w:r>
      <w:r w:rsidR="00065BF1" w:rsidRPr="00E60E24">
        <w:rPr>
          <w:rFonts w:ascii="Montserrat" w:hAnsi="Montserrat"/>
          <w:sz w:val="16"/>
          <w:szCs w:val="16"/>
        </w:rPr>
        <w:t xml:space="preserve">Para el cálculo se tomaron datos de la página: </w:t>
      </w:r>
      <w:r w:rsidR="00B45EE8" w:rsidRPr="00E60E24">
        <w:rPr>
          <w:rFonts w:ascii="Montserrat" w:eastAsia="Times New Roman" w:hAnsi="Montserrat" w:cs="Arial"/>
          <w:b/>
          <w:bCs/>
          <w:sz w:val="16"/>
          <w:szCs w:val="16"/>
          <w:lang w:val="es-MX" w:eastAsia="es-MX"/>
        </w:rPr>
        <w:t>https://finance.yahoo.com/quote/%5ESP500TR/history?p=%5ESP500TR</w:t>
      </w:r>
    </w:p>
  </w:footnote>
  <w:footnote w:id="6">
    <w:p w14:paraId="1CDBC66D" w14:textId="77777777" w:rsidR="006F326D" w:rsidRPr="00E60E24" w:rsidRDefault="0011208C" w:rsidP="00E60E24">
      <w:pPr>
        <w:pStyle w:val="Textonotapie"/>
        <w:spacing w:after="0"/>
        <w:rPr>
          <w:rFonts w:ascii="Montserrat" w:hAnsi="Montserrat"/>
          <w:sz w:val="16"/>
          <w:szCs w:val="16"/>
        </w:rPr>
      </w:pPr>
      <w:r w:rsidRPr="00E60E24">
        <w:rPr>
          <w:rStyle w:val="Refdenotaalpie"/>
          <w:rFonts w:ascii="Montserrat" w:hAnsi="Montserrat"/>
          <w:sz w:val="18"/>
          <w:szCs w:val="18"/>
        </w:rPr>
        <w:footnoteRef/>
      </w:r>
      <w:r w:rsidRPr="00E60E24">
        <w:rPr>
          <w:sz w:val="16"/>
          <w:szCs w:val="16"/>
        </w:rPr>
        <w:t xml:space="preserve"> </w:t>
      </w:r>
      <w:r w:rsidR="002A7C24" w:rsidRPr="00E60E24">
        <w:rPr>
          <w:rFonts w:ascii="Montserrat" w:hAnsi="Montserrat"/>
          <w:sz w:val="16"/>
          <w:szCs w:val="16"/>
        </w:rPr>
        <w:t xml:space="preserve">Para el cálculo se tomaron datos de la página: </w:t>
      </w:r>
    </w:p>
    <w:p w14:paraId="5278EA15" w14:textId="42053D81" w:rsidR="0011208C" w:rsidRPr="00E60E24" w:rsidRDefault="00B51D1E" w:rsidP="00D971D9">
      <w:pPr>
        <w:pStyle w:val="Textonotapie"/>
        <w:spacing w:after="0"/>
        <w:rPr>
          <w:rFonts w:ascii="Montserrat" w:hAnsi="Montserrat"/>
          <w:b/>
          <w:bCs/>
          <w:sz w:val="16"/>
          <w:szCs w:val="16"/>
        </w:rPr>
      </w:pPr>
      <w:r w:rsidRPr="00E60E24">
        <w:rPr>
          <w:rFonts w:ascii="Montserrat" w:hAnsi="Montserrat"/>
          <w:b/>
          <w:bCs/>
          <w:sz w:val="16"/>
          <w:szCs w:val="16"/>
        </w:rPr>
        <w:t>https://www.invenomica.com.ar/riesgo-pais-embi-america-latina-serie-historica/</w:t>
      </w:r>
    </w:p>
    <w:p w14:paraId="2A4B3386" w14:textId="77777777" w:rsidR="00B51D1E" w:rsidRPr="00E60E24" w:rsidRDefault="00B51D1E" w:rsidP="00E60E24">
      <w:pPr>
        <w:pStyle w:val="Textonotapie"/>
        <w:spacing w:after="0"/>
        <w:rPr>
          <w:rFonts w:ascii="Montserrat" w:hAnsi="Montserrat"/>
          <w:b/>
          <w:bCs/>
          <w:sz w:val="16"/>
          <w:szCs w:val="16"/>
        </w:rPr>
      </w:pPr>
    </w:p>
  </w:footnote>
  <w:footnote w:id="7">
    <w:p w14:paraId="44D46EC5" w14:textId="77777777" w:rsidR="00B51D1E" w:rsidRPr="00E60E24" w:rsidRDefault="00DC1634" w:rsidP="00B51D1E">
      <w:pPr>
        <w:pStyle w:val="Textonotapie"/>
        <w:spacing w:after="0"/>
        <w:rPr>
          <w:rFonts w:ascii="Montserrat" w:hAnsi="Montserrat"/>
          <w:sz w:val="16"/>
          <w:szCs w:val="16"/>
        </w:rPr>
      </w:pPr>
      <w:r w:rsidRPr="00E60E24">
        <w:rPr>
          <w:rStyle w:val="Refdenotaalpie"/>
          <w:rFonts w:ascii="Montserrat" w:hAnsi="Montserrat"/>
          <w:sz w:val="16"/>
          <w:szCs w:val="16"/>
        </w:rPr>
        <w:footnoteRef/>
      </w:r>
      <w:r w:rsidRPr="00E60E24">
        <w:t xml:space="preserve"> </w:t>
      </w:r>
      <w:r w:rsidR="00B51D1E" w:rsidRPr="00E60E24">
        <w:rPr>
          <w:rFonts w:ascii="Montserrat" w:hAnsi="Montserrat"/>
          <w:sz w:val="16"/>
          <w:szCs w:val="16"/>
        </w:rPr>
        <w:t xml:space="preserve">Para el cálculo se tomaron datos de la página: </w:t>
      </w:r>
    </w:p>
    <w:p w14:paraId="0BA7C9AF" w14:textId="558FB9B2" w:rsidR="00DC1634" w:rsidRPr="00E60E24" w:rsidRDefault="006C4BC3" w:rsidP="00B51D1E">
      <w:pPr>
        <w:pStyle w:val="Textonotapie"/>
        <w:rPr>
          <w:lang w:val="es-MX"/>
        </w:rPr>
      </w:pPr>
      <w:r w:rsidRPr="00E60E24">
        <w:rPr>
          <w:rFonts w:ascii="Montserrat" w:hAnsi="Montserrat"/>
          <w:b/>
          <w:bCs/>
          <w:sz w:val="16"/>
          <w:szCs w:val="16"/>
        </w:rPr>
        <w:t>https://www.cbo.gov/data/budget-economic-data#12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88F38" w14:textId="77777777" w:rsidR="00566AD1" w:rsidRDefault="00566AD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A990"/>
    <w:multiLevelType w:val="multilevel"/>
    <w:tmpl w:val="BB6809D6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DABAAD7A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11FB0AA4"/>
    <w:multiLevelType w:val="hybridMultilevel"/>
    <w:tmpl w:val="C960E72C"/>
    <w:lvl w:ilvl="0" w:tplc="2AA671F4">
      <w:start w:val="1"/>
      <w:numFmt w:val="decimal"/>
      <w:lvlText w:val="%1."/>
      <w:lvlJc w:val="left"/>
      <w:pPr>
        <w:ind w:left="1020" w:hanging="360"/>
      </w:pPr>
    </w:lvl>
    <w:lvl w:ilvl="1" w:tplc="3160794C">
      <w:start w:val="1"/>
      <w:numFmt w:val="decimal"/>
      <w:lvlText w:val="%2."/>
      <w:lvlJc w:val="left"/>
      <w:pPr>
        <w:ind w:left="1020" w:hanging="360"/>
      </w:pPr>
    </w:lvl>
    <w:lvl w:ilvl="2" w:tplc="B504D2E2">
      <w:start w:val="1"/>
      <w:numFmt w:val="decimal"/>
      <w:lvlText w:val="%3."/>
      <w:lvlJc w:val="left"/>
      <w:pPr>
        <w:ind w:left="1020" w:hanging="360"/>
      </w:pPr>
    </w:lvl>
    <w:lvl w:ilvl="3" w:tplc="DFE6102C">
      <w:start w:val="1"/>
      <w:numFmt w:val="decimal"/>
      <w:lvlText w:val="%4."/>
      <w:lvlJc w:val="left"/>
      <w:pPr>
        <w:ind w:left="1020" w:hanging="360"/>
      </w:pPr>
    </w:lvl>
    <w:lvl w:ilvl="4" w:tplc="A50EAE78">
      <w:start w:val="1"/>
      <w:numFmt w:val="decimal"/>
      <w:lvlText w:val="%5."/>
      <w:lvlJc w:val="left"/>
      <w:pPr>
        <w:ind w:left="1020" w:hanging="360"/>
      </w:pPr>
    </w:lvl>
    <w:lvl w:ilvl="5" w:tplc="B7CC7F82">
      <w:start w:val="1"/>
      <w:numFmt w:val="decimal"/>
      <w:lvlText w:val="%6."/>
      <w:lvlJc w:val="left"/>
      <w:pPr>
        <w:ind w:left="1020" w:hanging="360"/>
      </w:pPr>
    </w:lvl>
    <w:lvl w:ilvl="6" w:tplc="17905E74">
      <w:start w:val="1"/>
      <w:numFmt w:val="decimal"/>
      <w:lvlText w:val="%7."/>
      <w:lvlJc w:val="left"/>
      <w:pPr>
        <w:ind w:left="1020" w:hanging="360"/>
      </w:pPr>
    </w:lvl>
    <w:lvl w:ilvl="7" w:tplc="DE002B3E">
      <w:start w:val="1"/>
      <w:numFmt w:val="decimal"/>
      <w:lvlText w:val="%8."/>
      <w:lvlJc w:val="left"/>
      <w:pPr>
        <w:ind w:left="1020" w:hanging="360"/>
      </w:pPr>
    </w:lvl>
    <w:lvl w:ilvl="8" w:tplc="3F32DFC2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9643605"/>
    <w:multiLevelType w:val="multilevel"/>
    <w:tmpl w:val="313675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60629A"/>
    <w:multiLevelType w:val="hybridMultilevel"/>
    <w:tmpl w:val="CED68D62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124BC"/>
    <w:multiLevelType w:val="hybridMultilevel"/>
    <w:tmpl w:val="17EAAEAC"/>
    <w:lvl w:ilvl="0" w:tplc="8034A94A">
      <w:start w:val="1"/>
      <w:numFmt w:val="upperRoman"/>
      <w:lvlText w:val="%1."/>
      <w:lvlJc w:val="left"/>
      <w:pPr>
        <w:ind w:left="1287" w:hanging="720"/>
      </w:pPr>
    </w:lvl>
    <w:lvl w:ilvl="1" w:tplc="39FE11CA">
      <w:start w:val="1"/>
      <w:numFmt w:val="lowerLetter"/>
      <w:lvlText w:val="%2."/>
      <w:lvlJc w:val="left"/>
      <w:pPr>
        <w:ind w:left="1647" w:hanging="360"/>
      </w:pPr>
    </w:lvl>
    <w:lvl w:ilvl="2" w:tplc="942E3D74">
      <w:start w:val="1"/>
      <w:numFmt w:val="decimal"/>
      <w:lvlText w:val="%3."/>
      <w:lvlJc w:val="left"/>
      <w:pPr>
        <w:ind w:left="2547" w:hanging="360"/>
      </w:pPr>
    </w:lvl>
    <w:lvl w:ilvl="3" w:tplc="8BA24418">
      <w:start w:val="2"/>
      <w:numFmt w:val="lowerRoman"/>
      <w:lvlText w:val="%4."/>
      <w:lvlJc w:val="left"/>
      <w:pPr>
        <w:ind w:left="3447" w:hanging="720"/>
      </w:pPr>
    </w:lvl>
    <w:lvl w:ilvl="4" w:tplc="716CB1CC">
      <w:start w:val="1"/>
      <w:numFmt w:val="lowerLetter"/>
      <w:lvlText w:val="%5)"/>
      <w:lvlJc w:val="left"/>
      <w:pPr>
        <w:ind w:left="3807" w:hanging="360"/>
      </w:pPr>
    </w:lvl>
    <w:lvl w:ilvl="5" w:tplc="1B9A5A92">
      <w:numFmt w:val="bullet"/>
      <w:lvlText w:val="•"/>
      <w:lvlJc w:val="left"/>
      <w:pPr>
        <w:ind w:left="4707" w:hanging="360"/>
      </w:pPr>
      <w:rPr>
        <w:rFonts w:ascii="Montserrat" w:eastAsia="Times New Roman" w:hAnsi="Montserrat" w:cs="Arial" w:hint="default"/>
      </w:rPr>
    </w:lvl>
    <w:lvl w:ilvl="6" w:tplc="845AE9C4">
      <w:start w:val="2"/>
      <w:numFmt w:val="lowerRoman"/>
      <w:lvlText w:val="%7)"/>
      <w:lvlJc w:val="left"/>
      <w:pPr>
        <w:ind w:left="5607" w:hanging="720"/>
      </w:pPr>
    </w:lvl>
    <w:lvl w:ilvl="7" w:tplc="080A0019">
      <w:start w:val="1"/>
      <w:numFmt w:val="lowerLetter"/>
      <w:lvlText w:val="%8."/>
      <w:lvlJc w:val="left"/>
      <w:pPr>
        <w:ind w:left="5967" w:hanging="360"/>
      </w:pPr>
    </w:lvl>
    <w:lvl w:ilvl="8" w:tplc="080A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AA0B53"/>
    <w:multiLevelType w:val="hybridMultilevel"/>
    <w:tmpl w:val="24A2AE78"/>
    <w:lvl w:ilvl="0" w:tplc="C256E116">
      <w:start w:val="1"/>
      <w:numFmt w:val="decimal"/>
      <w:lvlText w:val="%1."/>
      <w:lvlJc w:val="left"/>
      <w:pPr>
        <w:ind w:left="1020" w:hanging="360"/>
      </w:pPr>
    </w:lvl>
    <w:lvl w:ilvl="1" w:tplc="C4AC8ED4">
      <w:start w:val="1"/>
      <w:numFmt w:val="decimal"/>
      <w:lvlText w:val="%2."/>
      <w:lvlJc w:val="left"/>
      <w:pPr>
        <w:ind w:left="1020" w:hanging="360"/>
      </w:pPr>
    </w:lvl>
    <w:lvl w:ilvl="2" w:tplc="E1B21BF0">
      <w:start w:val="1"/>
      <w:numFmt w:val="decimal"/>
      <w:lvlText w:val="%3."/>
      <w:lvlJc w:val="left"/>
      <w:pPr>
        <w:ind w:left="1020" w:hanging="360"/>
      </w:pPr>
    </w:lvl>
    <w:lvl w:ilvl="3" w:tplc="4B36E27E">
      <w:start w:val="1"/>
      <w:numFmt w:val="decimal"/>
      <w:lvlText w:val="%4."/>
      <w:lvlJc w:val="left"/>
      <w:pPr>
        <w:ind w:left="1020" w:hanging="360"/>
      </w:pPr>
    </w:lvl>
    <w:lvl w:ilvl="4" w:tplc="9F783398">
      <w:start w:val="1"/>
      <w:numFmt w:val="decimal"/>
      <w:lvlText w:val="%5."/>
      <w:lvlJc w:val="left"/>
      <w:pPr>
        <w:ind w:left="1020" w:hanging="360"/>
      </w:pPr>
    </w:lvl>
    <w:lvl w:ilvl="5" w:tplc="A5C27C7E">
      <w:start w:val="1"/>
      <w:numFmt w:val="decimal"/>
      <w:lvlText w:val="%6."/>
      <w:lvlJc w:val="left"/>
      <w:pPr>
        <w:ind w:left="1020" w:hanging="360"/>
      </w:pPr>
    </w:lvl>
    <w:lvl w:ilvl="6" w:tplc="94D88C18">
      <w:start w:val="1"/>
      <w:numFmt w:val="decimal"/>
      <w:lvlText w:val="%7."/>
      <w:lvlJc w:val="left"/>
      <w:pPr>
        <w:ind w:left="1020" w:hanging="360"/>
      </w:pPr>
    </w:lvl>
    <w:lvl w:ilvl="7" w:tplc="F2A8C4A0">
      <w:start w:val="1"/>
      <w:numFmt w:val="decimal"/>
      <w:lvlText w:val="%8."/>
      <w:lvlJc w:val="left"/>
      <w:pPr>
        <w:ind w:left="1020" w:hanging="360"/>
      </w:pPr>
    </w:lvl>
    <w:lvl w:ilvl="8" w:tplc="D90C2EAC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34E274FB"/>
    <w:multiLevelType w:val="multilevel"/>
    <w:tmpl w:val="215059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864D00"/>
    <w:multiLevelType w:val="hybridMultilevel"/>
    <w:tmpl w:val="7966BA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65F70"/>
    <w:multiLevelType w:val="hybridMultilevel"/>
    <w:tmpl w:val="B7E0BFAE"/>
    <w:lvl w:ilvl="0" w:tplc="F35240D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61A2B"/>
    <w:multiLevelType w:val="hybridMultilevel"/>
    <w:tmpl w:val="186ADE78"/>
    <w:lvl w:ilvl="0" w:tplc="08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869A4"/>
    <w:multiLevelType w:val="hybridMultilevel"/>
    <w:tmpl w:val="E8BE3D28"/>
    <w:lvl w:ilvl="0" w:tplc="7068A1C8">
      <w:start w:val="1"/>
      <w:numFmt w:val="decimal"/>
      <w:lvlText w:val="%1."/>
      <w:lvlJc w:val="left"/>
      <w:pPr>
        <w:ind w:left="1020" w:hanging="360"/>
      </w:pPr>
    </w:lvl>
    <w:lvl w:ilvl="1" w:tplc="075227A4">
      <w:start w:val="1"/>
      <w:numFmt w:val="decimal"/>
      <w:lvlText w:val="%2."/>
      <w:lvlJc w:val="left"/>
      <w:pPr>
        <w:ind w:left="1020" w:hanging="360"/>
      </w:pPr>
    </w:lvl>
    <w:lvl w:ilvl="2" w:tplc="454E1EAA">
      <w:start w:val="1"/>
      <w:numFmt w:val="decimal"/>
      <w:lvlText w:val="%3."/>
      <w:lvlJc w:val="left"/>
      <w:pPr>
        <w:ind w:left="1020" w:hanging="360"/>
      </w:pPr>
    </w:lvl>
    <w:lvl w:ilvl="3" w:tplc="DF6610EC">
      <w:start w:val="1"/>
      <w:numFmt w:val="decimal"/>
      <w:lvlText w:val="%4."/>
      <w:lvlJc w:val="left"/>
      <w:pPr>
        <w:ind w:left="1020" w:hanging="360"/>
      </w:pPr>
    </w:lvl>
    <w:lvl w:ilvl="4" w:tplc="A59A94CC">
      <w:start w:val="1"/>
      <w:numFmt w:val="decimal"/>
      <w:lvlText w:val="%5."/>
      <w:lvlJc w:val="left"/>
      <w:pPr>
        <w:ind w:left="1020" w:hanging="360"/>
      </w:pPr>
    </w:lvl>
    <w:lvl w:ilvl="5" w:tplc="E59AC734">
      <w:start w:val="1"/>
      <w:numFmt w:val="decimal"/>
      <w:lvlText w:val="%6."/>
      <w:lvlJc w:val="left"/>
      <w:pPr>
        <w:ind w:left="1020" w:hanging="360"/>
      </w:pPr>
    </w:lvl>
    <w:lvl w:ilvl="6" w:tplc="8A3A3616">
      <w:start w:val="1"/>
      <w:numFmt w:val="decimal"/>
      <w:lvlText w:val="%7."/>
      <w:lvlJc w:val="left"/>
      <w:pPr>
        <w:ind w:left="1020" w:hanging="360"/>
      </w:pPr>
    </w:lvl>
    <w:lvl w:ilvl="7" w:tplc="5F4AFBA4">
      <w:start w:val="1"/>
      <w:numFmt w:val="decimal"/>
      <w:lvlText w:val="%8."/>
      <w:lvlJc w:val="left"/>
      <w:pPr>
        <w:ind w:left="1020" w:hanging="360"/>
      </w:pPr>
    </w:lvl>
    <w:lvl w:ilvl="8" w:tplc="5CC41E0A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7ECC3568"/>
    <w:multiLevelType w:val="hybridMultilevel"/>
    <w:tmpl w:val="0B5ACA04"/>
    <w:lvl w:ilvl="0" w:tplc="925AF466">
      <w:start w:val="1"/>
      <w:numFmt w:val="decimal"/>
      <w:lvlText w:val="%1."/>
      <w:lvlJc w:val="left"/>
      <w:pPr>
        <w:ind w:left="1020" w:hanging="360"/>
      </w:pPr>
    </w:lvl>
    <w:lvl w:ilvl="1" w:tplc="855A59BC">
      <w:start w:val="1"/>
      <w:numFmt w:val="decimal"/>
      <w:lvlText w:val="%2."/>
      <w:lvlJc w:val="left"/>
      <w:pPr>
        <w:ind w:left="1020" w:hanging="360"/>
      </w:pPr>
    </w:lvl>
    <w:lvl w:ilvl="2" w:tplc="D5AE08EA">
      <w:start w:val="1"/>
      <w:numFmt w:val="decimal"/>
      <w:lvlText w:val="%3."/>
      <w:lvlJc w:val="left"/>
      <w:pPr>
        <w:ind w:left="1020" w:hanging="360"/>
      </w:pPr>
    </w:lvl>
    <w:lvl w:ilvl="3" w:tplc="4DF066E8">
      <w:start w:val="1"/>
      <w:numFmt w:val="decimal"/>
      <w:lvlText w:val="%4."/>
      <w:lvlJc w:val="left"/>
      <w:pPr>
        <w:ind w:left="1020" w:hanging="360"/>
      </w:pPr>
    </w:lvl>
    <w:lvl w:ilvl="4" w:tplc="4C06DF52">
      <w:start w:val="1"/>
      <w:numFmt w:val="decimal"/>
      <w:lvlText w:val="%5."/>
      <w:lvlJc w:val="left"/>
      <w:pPr>
        <w:ind w:left="1020" w:hanging="360"/>
      </w:pPr>
    </w:lvl>
    <w:lvl w:ilvl="5" w:tplc="E7EE3836">
      <w:start w:val="1"/>
      <w:numFmt w:val="decimal"/>
      <w:lvlText w:val="%6."/>
      <w:lvlJc w:val="left"/>
      <w:pPr>
        <w:ind w:left="1020" w:hanging="360"/>
      </w:pPr>
    </w:lvl>
    <w:lvl w:ilvl="6" w:tplc="E8940754">
      <w:start w:val="1"/>
      <w:numFmt w:val="decimal"/>
      <w:lvlText w:val="%7."/>
      <w:lvlJc w:val="left"/>
      <w:pPr>
        <w:ind w:left="1020" w:hanging="360"/>
      </w:pPr>
    </w:lvl>
    <w:lvl w:ilvl="7" w:tplc="7D024598">
      <w:start w:val="1"/>
      <w:numFmt w:val="decimal"/>
      <w:lvlText w:val="%8."/>
      <w:lvlJc w:val="left"/>
      <w:pPr>
        <w:ind w:left="1020" w:hanging="360"/>
      </w:pPr>
    </w:lvl>
    <w:lvl w:ilvl="8" w:tplc="33243350">
      <w:start w:val="1"/>
      <w:numFmt w:val="decimal"/>
      <w:lvlText w:val="%9."/>
      <w:lvlJc w:val="left"/>
      <w:pPr>
        <w:ind w:left="1020" w:hanging="360"/>
      </w:pPr>
    </w:lvl>
  </w:abstractNum>
  <w:num w:numId="1" w16cid:durableId="153380585">
    <w:abstractNumId w:val="0"/>
  </w:num>
  <w:num w:numId="2" w16cid:durableId="314995825">
    <w:abstractNumId w:val="1"/>
  </w:num>
  <w:num w:numId="3" w16cid:durableId="1213149908">
    <w:abstractNumId w:val="1"/>
  </w:num>
  <w:num w:numId="4" w16cid:durableId="1907834065">
    <w:abstractNumId w:val="1"/>
  </w:num>
  <w:num w:numId="5" w16cid:durableId="519900950">
    <w:abstractNumId w:val="1"/>
  </w:num>
  <w:num w:numId="6" w16cid:durableId="162160253">
    <w:abstractNumId w:val="7"/>
  </w:num>
  <w:num w:numId="7" w16cid:durableId="490559205">
    <w:abstractNumId w:val="3"/>
  </w:num>
  <w:num w:numId="8" w16cid:durableId="468713599">
    <w:abstractNumId w:val="9"/>
  </w:num>
  <w:num w:numId="9" w16cid:durableId="1879663799">
    <w:abstractNumId w:val="6"/>
  </w:num>
  <w:num w:numId="10" w16cid:durableId="2115981042">
    <w:abstractNumId w:val="12"/>
  </w:num>
  <w:num w:numId="11" w16cid:durableId="1461268009">
    <w:abstractNumId w:val="11"/>
  </w:num>
  <w:num w:numId="12" w16cid:durableId="1750496664">
    <w:abstractNumId w:val="2"/>
  </w:num>
  <w:num w:numId="13" w16cid:durableId="63060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/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14" w16cid:durableId="219441866">
    <w:abstractNumId w:val="8"/>
  </w:num>
  <w:num w:numId="15" w16cid:durableId="1055662088">
    <w:abstractNumId w:val="10"/>
  </w:num>
  <w:num w:numId="16" w16cid:durableId="117349494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duardo Gutierrez Sicardo">
    <w15:presenceInfo w15:providerId="AD" w15:userId="S::egutierrez@cre.gob.mx::5f253e34-5ad0-4f2e-92a3-e10424cb3942"/>
  </w15:person>
  <w15:person w15:author="CTP">
    <w15:presenceInfo w15:providerId="None" w15:userId="CT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391"/>
    <w:rsid w:val="000001CC"/>
    <w:rsid w:val="000026D9"/>
    <w:rsid w:val="00006934"/>
    <w:rsid w:val="000377C9"/>
    <w:rsid w:val="0005221C"/>
    <w:rsid w:val="00053C1C"/>
    <w:rsid w:val="0005792B"/>
    <w:rsid w:val="0006222E"/>
    <w:rsid w:val="00065BF1"/>
    <w:rsid w:val="00065F89"/>
    <w:rsid w:val="0008139F"/>
    <w:rsid w:val="00083C06"/>
    <w:rsid w:val="00086B09"/>
    <w:rsid w:val="000A0D49"/>
    <w:rsid w:val="000A4A40"/>
    <w:rsid w:val="000A5A50"/>
    <w:rsid w:val="000D2104"/>
    <w:rsid w:val="000D40FB"/>
    <w:rsid w:val="000E2C3F"/>
    <w:rsid w:val="000E76B1"/>
    <w:rsid w:val="00100741"/>
    <w:rsid w:val="0010335A"/>
    <w:rsid w:val="00105FC7"/>
    <w:rsid w:val="0011208C"/>
    <w:rsid w:val="0012232D"/>
    <w:rsid w:val="00130C7D"/>
    <w:rsid w:val="001504A6"/>
    <w:rsid w:val="00151046"/>
    <w:rsid w:val="00154197"/>
    <w:rsid w:val="00160120"/>
    <w:rsid w:val="00161EB7"/>
    <w:rsid w:val="00165315"/>
    <w:rsid w:val="00175E86"/>
    <w:rsid w:val="001907FD"/>
    <w:rsid w:val="001912DD"/>
    <w:rsid w:val="00191457"/>
    <w:rsid w:val="00192284"/>
    <w:rsid w:val="001A2E89"/>
    <w:rsid w:val="001A72BB"/>
    <w:rsid w:val="001B1F29"/>
    <w:rsid w:val="001B56AE"/>
    <w:rsid w:val="001C08F7"/>
    <w:rsid w:val="001E0726"/>
    <w:rsid w:val="001E15A0"/>
    <w:rsid w:val="001E1B8B"/>
    <w:rsid w:val="001E2522"/>
    <w:rsid w:val="001E3F78"/>
    <w:rsid w:val="0020007B"/>
    <w:rsid w:val="00216B9C"/>
    <w:rsid w:val="002171C3"/>
    <w:rsid w:val="00220CEE"/>
    <w:rsid w:val="0022766E"/>
    <w:rsid w:val="00243C2F"/>
    <w:rsid w:val="00247145"/>
    <w:rsid w:val="002613E3"/>
    <w:rsid w:val="00275BC0"/>
    <w:rsid w:val="00287022"/>
    <w:rsid w:val="00295F12"/>
    <w:rsid w:val="00296A3E"/>
    <w:rsid w:val="002A347A"/>
    <w:rsid w:val="002A3E5B"/>
    <w:rsid w:val="002A518E"/>
    <w:rsid w:val="002A763B"/>
    <w:rsid w:val="002A7C24"/>
    <w:rsid w:val="002C3369"/>
    <w:rsid w:val="002C704A"/>
    <w:rsid w:val="002E01AE"/>
    <w:rsid w:val="002E4C43"/>
    <w:rsid w:val="002F0FD8"/>
    <w:rsid w:val="003139CC"/>
    <w:rsid w:val="003157D5"/>
    <w:rsid w:val="00325120"/>
    <w:rsid w:val="00327EE6"/>
    <w:rsid w:val="00337BBB"/>
    <w:rsid w:val="003418F8"/>
    <w:rsid w:val="00346E57"/>
    <w:rsid w:val="00350087"/>
    <w:rsid w:val="003510AB"/>
    <w:rsid w:val="003523D0"/>
    <w:rsid w:val="00354963"/>
    <w:rsid w:val="00366FA8"/>
    <w:rsid w:val="00372F6B"/>
    <w:rsid w:val="00392A2D"/>
    <w:rsid w:val="003948AC"/>
    <w:rsid w:val="003965C1"/>
    <w:rsid w:val="003A54C4"/>
    <w:rsid w:val="003B234D"/>
    <w:rsid w:val="003B4D36"/>
    <w:rsid w:val="003B7201"/>
    <w:rsid w:val="003D1227"/>
    <w:rsid w:val="003E467D"/>
    <w:rsid w:val="003F1794"/>
    <w:rsid w:val="003F6C79"/>
    <w:rsid w:val="00400EA7"/>
    <w:rsid w:val="004062B8"/>
    <w:rsid w:val="00411C36"/>
    <w:rsid w:val="004266D7"/>
    <w:rsid w:val="00427FFC"/>
    <w:rsid w:val="004307BD"/>
    <w:rsid w:val="00432186"/>
    <w:rsid w:val="004410DD"/>
    <w:rsid w:val="00443C8D"/>
    <w:rsid w:val="0045378F"/>
    <w:rsid w:val="00461D11"/>
    <w:rsid w:val="00465992"/>
    <w:rsid w:val="00477E97"/>
    <w:rsid w:val="00480622"/>
    <w:rsid w:val="00486366"/>
    <w:rsid w:val="00494E4E"/>
    <w:rsid w:val="00496409"/>
    <w:rsid w:val="00496D81"/>
    <w:rsid w:val="004A2AEF"/>
    <w:rsid w:val="004B17F2"/>
    <w:rsid w:val="004B7116"/>
    <w:rsid w:val="004C3B59"/>
    <w:rsid w:val="00502CE4"/>
    <w:rsid w:val="00506192"/>
    <w:rsid w:val="0050722B"/>
    <w:rsid w:val="00510B73"/>
    <w:rsid w:val="0051110B"/>
    <w:rsid w:val="00515D7C"/>
    <w:rsid w:val="00516D02"/>
    <w:rsid w:val="00522B00"/>
    <w:rsid w:val="005237E4"/>
    <w:rsid w:val="0052426E"/>
    <w:rsid w:val="005267C0"/>
    <w:rsid w:val="005302BF"/>
    <w:rsid w:val="005406E9"/>
    <w:rsid w:val="005519F1"/>
    <w:rsid w:val="00552BFD"/>
    <w:rsid w:val="005622C7"/>
    <w:rsid w:val="00566AD1"/>
    <w:rsid w:val="00571567"/>
    <w:rsid w:val="00581C77"/>
    <w:rsid w:val="0059746C"/>
    <w:rsid w:val="005B5F91"/>
    <w:rsid w:val="005C0816"/>
    <w:rsid w:val="005E5523"/>
    <w:rsid w:val="005F0B8F"/>
    <w:rsid w:val="005F3734"/>
    <w:rsid w:val="00611351"/>
    <w:rsid w:val="006142D0"/>
    <w:rsid w:val="00621F65"/>
    <w:rsid w:val="006228EB"/>
    <w:rsid w:val="00623AD6"/>
    <w:rsid w:val="006331CD"/>
    <w:rsid w:val="00640DBB"/>
    <w:rsid w:val="00644681"/>
    <w:rsid w:val="006560A5"/>
    <w:rsid w:val="006770F9"/>
    <w:rsid w:val="006A727A"/>
    <w:rsid w:val="006B6282"/>
    <w:rsid w:val="006C061C"/>
    <w:rsid w:val="006C0E59"/>
    <w:rsid w:val="006C33BD"/>
    <w:rsid w:val="006C4BC3"/>
    <w:rsid w:val="006D5C4A"/>
    <w:rsid w:val="006E0C7F"/>
    <w:rsid w:val="006E294A"/>
    <w:rsid w:val="006E788F"/>
    <w:rsid w:val="006F326D"/>
    <w:rsid w:val="00700B6C"/>
    <w:rsid w:val="00716987"/>
    <w:rsid w:val="007209B0"/>
    <w:rsid w:val="00721BFD"/>
    <w:rsid w:val="00722D47"/>
    <w:rsid w:val="00730764"/>
    <w:rsid w:val="007419A9"/>
    <w:rsid w:val="0074258C"/>
    <w:rsid w:val="0074481E"/>
    <w:rsid w:val="00746A0B"/>
    <w:rsid w:val="00777391"/>
    <w:rsid w:val="007906CF"/>
    <w:rsid w:val="007A0084"/>
    <w:rsid w:val="007B3E48"/>
    <w:rsid w:val="007C0454"/>
    <w:rsid w:val="007C1D85"/>
    <w:rsid w:val="007C75DE"/>
    <w:rsid w:val="007D370E"/>
    <w:rsid w:val="007E3337"/>
    <w:rsid w:val="007F14F8"/>
    <w:rsid w:val="007F59C0"/>
    <w:rsid w:val="008007E8"/>
    <w:rsid w:val="00801D4A"/>
    <w:rsid w:val="00811BB4"/>
    <w:rsid w:val="00826FEE"/>
    <w:rsid w:val="00837B48"/>
    <w:rsid w:val="00840456"/>
    <w:rsid w:val="00844D7B"/>
    <w:rsid w:val="008604FF"/>
    <w:rsid w:val="008672DA"/>
    <w:rsid w:val="00873BF3"/>
    <w:rsid w:val="00877B7D"/>
    <w:rsid w:val="0088118C"/>
    <w:rsid w:val="00890BFE"/>
    <w:rsid w:val="008A001B"/>
    <w:rsid w:val="008D0ECF"/>
    <w:rsid w:val="008D53DB"/>
    <w:rsid w:val="008E0E7F"/>
    <w:rsid w:val="008F7F3C"/>
    <w:rsid w:val="009032CF"/>
    <w:rsid w:val="00905D7C"/>
    <w:rsid w:val="00913FB9"/>
    <w:rsid w:val="0092265A"/>
    <w:rsid w:val="00923BC5"/>
    <w:rsid w:val="009347C4"/>
    <w:rsid w:val="009354CE"/>
    <w:rsid w:val="00942720"/>
    <w:rsid w:val="00944680"/>
    <w:rsid w:val="009618A6"/>
    <w:rsid w:val="00964C4D"/>
    <w:rsid w:val="00964FB3"/>
    <w:rsid w:val="00971AB7"/>
    <w:rsid w:val="0098067E"/>
    <w:rsid w:val="00985CA0"/>
    <w:rsid w:val="0098673A"/>
    <w:rsid w:val="009949BB"/>
    <w:rsid w:val="009A2877"/>
    <w:rsid w:val="009C4D98"/>
    <w:rsid w:val="009D2936"/>
    <w:rsid w:val="009E21B9"/>
    <w:rsid w:val="009F0A52"/>
    <w:rsid w:val="009F66A9"/>
    <w:rsid w:val="00A04352"/>
    <w:rsid w:val="00A05D97"/>
    <w:rsid w:val="00A1511A"/>
    <w:rsid w:val="00A2086B"/>
    <w:rsid w:val="00A27C81"/>
    <w:rsid w:val="00A50995"/>
    <w:rsid w:val="00A64A47"/>
    <w:rsid w:val="00A74B47"/>
    <w:rsid w:val="00A7732D"/>
    <w:rsid w:val="00A85601"/>
    <w:rsid w:val="00A90AF4"/>
    <w:rsid w:val="00AA5BCB"/>
    <w:rsid w:val="00AA6AE2"/>
    <w:rsid w:val="00AD0630"/>
    <w:rsid w:val="00AD0E22"/>
    <w:rsid w:val="00AD235E"/>
    <w:rsid w:val="00AD3AB3"/>
    <w:rsid w:val="00AD6B37"/>
    <w:rsid w:val="00AE4AB9"/>
    <w:rsid w:val="00B02B95"/>
    <w:rsid w:val="00B106C1"/>
    <w:rsid w:val="00B24CAB"/>
    <w:rsid w:val="00B26F31"/>
    <w:rsid w:val="00B27A9C"/>
    <w:rsid w:val="00B3089B"/>
    <w:rsid w:val="00B30F0A"/>
    <w:rsid w:val="00B32928"/>
    <w:rsid w:val="00B42200"/>
    <w:rsid w:val="00B45EE8"/>
    <w:rsid w:val="00B51D1E"/>
    <w:rsid w:val="00B65420"/>
    <w:rsid w:val="00B70E8D"/>
    <w:rsid w:val="00B7117A"/>
    <w:rsid w:val="00B71559"/>
    <w:rsid w:val="00B73E75"/>
    <w:rsid w:val="00B7524D"/>
    <w:rsid w:val="00B77CFD"/>
    <w:rsid w:val="00B847DA"/>
    <w:rsid w:val="00B93399"/>
    <w:rsid w:val="00B93C30"/>
    <w:rsid w:val="00BA3A55"/>
    <w:rsid w:val="00BA53D3"/>
    <w:rsid w:val="00BA541A"/>
    <w:rsid w:val="00BA7439"/>
    <w:rsid w:val="00BB183F"/>
    <w:rsid w:val="00BB4609"/>
    <w:rsid w:val="00BC37EB"/>
    <w:rsid w:val="00BD3A46"/>
    <w:rsid w:val="00BE0981"/>
    <w:rsid w:val="00BE748D"/>
    <w:rsid w:val="00BE7A9B"/>
    <w:rsid w:val="00BF56AB"/>
    <w:rsid w:val="00C12F19"/>
    <w:rsid w:val="00C254FA"/>
    <w:rsid w:val="00C30E39"/>
    <w:rsid w:val="00C37EDC"/>
    <w:rsid w:val="00C41AA9"/>
    <w:rsid w:val="00C4384B"/>
    <w:rsid w:val="00C55E14"/>
    <w:rsid w:val="00C57BF5"/>
    <w:rsid w:val="00C64206"/>
    <w:rsid w:val="00C64B24"/>
    <w:rsid w:val="00C71CC8"/>
    <w:rsid w:val="00C722BD"/>
    <w:rsid w:val="00C90D87"/>
    <w:rsid w:val="00C91D4D"/>
    <w:rsid w:val="00C9628C"/>
    <w:rsid w:val="00C96361"/>
    <w:rsid w:val="00C968E2"/>
    <w:rsid w:val="00CB26EB"/>
    <w:rsid w:val="00CD5349"/>
    <w:rsid w:val="00CE4A1C"/>
    <w:rsid w:val="00CF28AB"/>
    <w:rsid w:val="00D04C52"/>
    <w:rsid w:val="00D27C9C"/>
    <w:rsid w:val="00D315B1"/>
    <w:rsid w:val="00D55FE8"/>
    <w:rsid w:val="00D61933"/>
    <w:rsid w:val="00D8175B"/>
    <w:rsid w:val="00D819E9"/>
    <w:rsid w:val="00D87031"/>
    <w:rsid w:val="00D91B70"/>
    <w:rsid w:val="00D91D61"/>
    <w:rsid w:val="00D953C2"/>
    <w:rsid w:val="00D971D9"/>
    <w:rsid w:val="00DA269B"/>
    <w:rsid w:val="00DC1634"/>
    <w:rsid w:val="00DC76C7"/>
    <w:rsid w:val="00DD10E5"/>
    <w:rsid w:val="00DE5314"/>
    <w:rsid w:val="00E00486"/>
    <w:rsid w:val="00E028E5"/>
    <w:rsid w:val="00E10106"/>
    <w:rsid w:val="00E11C70"/>
    <w:rsid w:val="00E1212A"/>
    <w:rsid w:val="00E27E0A"/>
    <w:rsid w:val="00E311F7"/>
    <w:rsid w:val="00E31398"/>
    <w:rsid w:val="00E313D7"/>
    <w:rsid w:val="00E31810"/>
    <w:rsid w:val="00E350E8"/>
    <w:rsid w:val="00E5123B"/>
    <w:rsid w:val="00E60E24"/>
    <w:rsid w:val="00E7102B"/>
    <w:rsid w:val="00E7786B"/>
    <w:rsid w:val="00E826EC"/>
    <w:rsid w:val="00E84ABE"/>
    <w:rsid w:val="00E91A97"/>
    <w:rsid w:val="00E94A0D"/>
    <w:rsid w:val="00E94D22"/>
    <w:rsid w:val="00E94FD2"/>
    <w:rsid w:val="00EA2769"/>
    <w:rsid w:val="00EB6622"/>
    <w:rsid w:val="00EB7375"/>
    <w:rsid w:val="00ED1B0A"/>
    <w:rsid w:val="00ED4CD3"/>
    <w:rsid w:val="00ED6504"/>
    <w:rsid w:val="00ED77FF"/>
    <w:rsid w:val="00EE7C40"/>
    <w:rsid w:val="00F2528E"/>
    <w:rsid w:val="00F41185"/>
    <w:rsid w:val="00F43515"/>
    <w:rsid w:val="00F54BD4"/>
    <w:rsid w:val="00F54D62"/>
    <w:rsid w:val="00F55898"/>
    <w:rsid w:val="00F609D8"/>
    <w:rsid w:val="00F61BA9"/>
    <w:rsid w:val="00F62103"/>
    <w:rsid w:val="00F65F80"/>
    <w:rsid w:val="00F73EE7"/>
    <w:rsid w:val="00F93D60"/>
    <w:rsid w:val="00F95298"/>
    <w:rsid w:val="00FA281E"/>
    <w:rsid w:val="00FA5C8B"/>
    <w:rsid w:val="00FA72DB"/>
    <w:rsid w:val="00FB5B62"/>
    <w:rsid w:val="00FC5170"/>
    <w:rsid w:val="00FD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F8C16"/>
  <w15:docId w15:val="{56E3A6A2-4028-4D56-8E42-8920027D6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Textoindependiente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tulo3">
    <w:name w:val="heading 3"/>
    <w:basedOn w:val="Normal"/>
    <w:next w:val="Textoindependiente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Textoindependiente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Ttulo5">
    <w:name w:val="heading 5"/>
    <w:basedOn w:val="Normal"/>
    <w:next w:val="Textoindependiente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Textoindependiente"/>
    <w:next w:val="Textoindependiente"/>
    <w:qFormat/>
  </w:style>
  <w:style w:type="paragraph" w:customStyle="1" w:styleId="Compact">
    <w:name w:val="Compact"/>
    <w:basedOn w:val="Textoindependiente"/>
    <w:qFormat/>
    <w:pPr>
      <w:spacing w:before="36" w:after="36"/>
    </w:pPr>
  </w:style>
  <w:style w:type="paragraph" w:styleId="Ttulo">
    <w:name w:val="Title"/>
    <w:basedOn w:val="Normal"/>
    <w:next w:val="Textoindependiente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tulo">
    <w:name w:val="Subtitle"/>
    <w:basedOn w:val="Ttulo"/>
    <w:next w:val="Textoindependien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oindependiente"/>
    <w:qFormat/>
    <w:pPr>
      <w:keepNext/>
      <w:keepLines/>
      <w:jc w:val="center"/>
    </w:pPr>
  </w:style>
  <w:style w:type="paragraph" w:styleId="Fecha">
    <w:name w:val="Date"/>
    <w:next w:val="Textoindependien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</w:style>
  <w:style w:type="paragraph" w:styleId="Textodebloque">
    <w:name w:val="Block Text"/>
    <w:basedOn w:val="Textoindependiente"/>
    <w:next w:val="Textoindependiente"/>
    <w:uiPriority w:val="9"/>
    <w:unhideWhenUsed/>
    <w:qFormat/>
    <w:pPr>
      <w:spacing w:before="100" w:after="100"/>
      <w:ind w:left="480" w:right="480"/>
    </w:pPr>
  </w:style>
  <w:style w:type="paragraph" w:styleId="Textonotapie">
    <w:name w:val="footnote text"/>
    <w:aliases w:val="Footnote Text Char"/>
    <w:basedOn w:val="Normal"/>
    <w:link w:val="TextonotapieCar"/>
    <w:uiPriority w:val="9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pPr>
      <w:keepNext/>
    </w:pPr>
  </w:style>
  <w:style w:type="paragraph" w:customStyle="1" w:styleId="ImageCaption">
    <w:name w:val="Image Caption"/>
    <w:basedOn w:val="Descripci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DescripcinCar"/>
  </w:style>
  <w:style w:type="character" w:styleId="Refdenotaalpie">
    <w:name w:val="footnote reference"/>
    <w:basedOn w:val="DescripcinCar"/>
    <w:uiPriority w:val="99"/>
    <w:rPr>
      <w:vertAlign w:val="superscript"/>
    </w:rPr>
  </w:style>
  <w:style w:type="character" w:styleId="Hipervnculo">
    <w:name w:val="Hyperlink"/>
    <w:basedOn w:val="DescripcinCar"/>
    <w:rPr>
      <w:color w:val="4F81BD" w:themeColor="accent1"/>
    </w:rPr>
  </w:style>
  <w:style w:type="paragraph" w:styleId="TtuloTDC">
    <w:name w:val="TOC Heading"/>
    <w:basedOn w:val="Ttulo1"/>
    <w:next w:val="Textoindependiente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styleId="Textodelmarcadordeposicin">
    <w:name w:val="Placeholder Text"/>
    <w:basedOn w:val="Fuentedeprrafopredeter"/>
    <w:semiHidden/>
    <w:rsid w:val="00D27C9C"/>
    <w:rPr>
      <w:color w:val="80808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E1B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E1B8B"/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styleId="Refdecomentario">
    <w:name w:val="annotation reference"/>
    <w:basedOn w:val="Fuentedeprrafopredeter"/>
    <w:semiHidden/>
    <w:unhideWhenUsed/>
    <w:rsid w:val="00BA53D3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BA53D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A53D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A53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A53D3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16B9C"/>
    <w:pPr>
      <w:tabs>
        <w:tab w:val="center" w:pos="4419"/>
        <w:tab w:val="right" w:pos="8838"/>
      </w:tabs>
      <w:spacing w:after="0"/>
    </w:pPr>
    <w:rPr>
      <w:rFonts w:ascii="Calibri" w:hAnsi="Calibri" w:cs="Times New Roman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216B9C"/>
    <w:rPr>
      <w:rFonts w:ascii="Calibri" w:hAnsi="Calibri" w:cs="Times New Roman"/>
      <w:lang w:val="es-MX"/>
    </w:rPr>
  </w:style>
  <w:style w:type="paragraph" w:styleId="Prrafodelista">
    <w:name w:val="List Paragraph"/>
    <w:aliases w:val="lp1,List Paragraph1,Lista vistosa - Énfasis 11,List Paragraph11,Bullet List,FooterText,numbered,Paragraphe de liste1,Bulletr List Paragraph,列出段落,列出段落1,Párrafo de lista numerado,viñetas,Listas,Dot pt,No Spacing1,Figuras,Ha"/>
    <w:basedOn w:val="Normal"/>
    <w:link w:val="PrrafodelistaCar"/>
    <w:uiPriority w:val="34"/>
    <w:qFormat/>
    <w:rsid w:val="00F62103"/>
    <w:pPr>
      <w:spacing w:after="160" w:line="259" w:lineRule="auto"/>
      <w:ind w:left="720"/>
      <w:contextualSpacing/>
    </w:pPr>
    <w:rPr>
      <w:rFonts w:ascii="Calibri" w:hAnsi="Calibri" w:cs="Times New Roman"/>
      <w:lang w:val="es-MX"/>
    </w:rPr>
  </w:style>
  <w:style w:type="character" w:customStyle="1" w:styleId="TextonotapieCar">
    <w:name w:val="Texto nota pie Car"/>
    <w:aliases w:val="Footnote Text Char Car"/>
    <w:basedOn w:val="Fuentedeprrafopredeter"/>
    <w:link w:val="Textonotapie"/>
    <w:uiPriority w:val="99"/>
    <w:rsid w:val="00F62103"/>
  </w:style>
  <w:style w:type="character" w:customStyle="1" w:styleId="PrrafodelistaCar">
    <w:name w:val="Párrafo de lista Car"/>
    <w:aliases w:val="lp1 Car,List Paragraph1 Car,Lista vistosa - Énfasis 11 Car,List Paragraph11 Car,Bullet List Car,FooterText Car,numbered Car,Paragraphe de liste1 Car,Bulletr List Paragraph Car,列出段落 Car,列出段落1 Car,Párrafo de lista numerado Car,Ha Car"/>
    <w:basedOn w:val="Fuentedeprrafopredeter"/>
    <w:link w:val="Prrafodelista"/>
    <w:uiPriority w:val="34"/>
    <w:qFormat/>
    <w:locked/>
    <w:rsid w:val="00F62103"/>
    <w:rPr>
      <w:rFonts w:ascii="Calibri" w:hAnsi="Calibri" w:cs="Times New Roman"/>
      <w:lang w:val="es-MX"/>
    </w:rPr>
  </w:style>
  <w:style w:type="paragraph" w:styleId="Revisin">
    <w:name w:val="Revision"/>
    <w:hidden/>
    <w:semiHidden/>
    <w:rsid w:val="00516D02"/>
    <w:pPr>
      <w:spacing w:after="0"/>
    </w:pPr>
  </w:style>
  <w:style w:type="paragraph" w:styleId="Piedepgina">
    <w:name w:val="footer"/>
    <w:basedOn w:val="Normal"/>
    <w:link w:val="PiedepginaCar"/>
    <w:unhideWhenUsed/>
    <w:rsid w:val="00400EA7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rsid w:val="00400EA7"/>
  </w:style>
  <w:style w:type="paragraph" w:styleId="Textonotaalfinal">
    <w:name w:val="endnote text"/>
    <w:basedOn w:val="Normal"/>
    <w:link w:val="TextonotaalfinalCar"/>
    <w:semiHidden/>
    <w:unhideWhenUsed/>
    <w:rsid w:val="00BA7439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A7439"/>
    <w:rPr>
      <w:sz w:val="20"/>
      <w:szCs w:val="20"/>
    </w:rPr>
  </w:style>
  <w:style w:type="character" w:styleId="Refdenotaalfinal">
    <w:name w:val="endnote reference"/>
    <w:basedOn w:val="Fuentedeprrafopredeter"/>
    <w:semiHidden/>
    <w:unhideWhenUsed/>
    <w:rsid w:val="00BA7439"/>
    <w:rPr>
      <w:vertAlign w:val="superscript"/>
    </w:rPr>
  </w:style>
  <w:style w:type="character" w:customStyle="1" w:styleId="TitulotablasCar">
    <w:name w:val="Titulo tablas Car"/>
    <w:basedOn w:val="PrrafodelistaCar"/>
    <w:link w:val="Titulotablas"/>
    <w:locked/>
    <w:rsid w:val="00566AD1"/>
    <w:rPr>
      <w:rFonts w:ascii="Montserrat" w:eastAsiaTheme="majorEastAsia" w:hAnsi="Montserrat" w:cstheme="majorHAnsi"/>
      <w:i/>
      <w:sz w:val="20"/>
      <w:szCs w:val="18"/>
      <w:lang w:val="es-MX"/>
    </w:rPr>
  </w:style>
  <w:style w:type="paragraph" w:customStyle="1" w:styleId="Titulotablas">
    <w:name w:val="Titulo tablas"/>
    <w:basedOn w:val="Ttulo3"/>
    <w:link w:val="TitulotablasCar"/>
    <w:qFormat/>
    <w:rsid w:val="00566AD1"/>
    <w:pPr>
      <w:spacing w:before="0"/>
      <w:jc w:val="center"/>
    </w:pPr>
    <w:rPr>
      <w:rFonts w:ascii="Montserrat" w:hAnsi="Montserrat" w:cstheme="majorHAnsi"/>
      <w:b w:val="0"/>
      <w:bCs w:val="0"/>
      <w:i/>
      <w:color w:val="auto"/>
      <w:sz w:val="20"/>
      <w:szCs w:val="18"/>
      <w:lang w:val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566A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6F79D-E98E-4077-AA0A-E25747A2E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1766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ANÁLISIS DE IMPACTO REGULATORIO PARA LAS DISPOSICIONES ADMINISTRATIVAS DE CARÁCTER GENERAL QUE ESTABLECEN LA METODOLOGÍA PARA LA DETERMINACIÓN DE TARIFAS APLICABLES A LA PRESTACIÓN DE LOS SERVICIOS DE ALMACENAMIENTO Y TRANSPORTE POR DUCTO DE PETROLÍFEROS,</vt:lpstr>
    </vt:vector>
  </TitlesOfParts>
  <Company/>
  <LinksUpToDate>false</LinksUpToDate>
  <CharactersWithSpaces>11461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ANÁLISIS DE IMPACTO REGULATORIO PARA LAS DISPOSICIONES ADMINISTRATIVAS DE CARÁCTER GENERAL QUE ESTABLECEN LA METODOLOGÍA PARA LA DETERMINACIÓN DE TARIFAS APLICABLES A LA PRESTACIÓN DE LOS SERVICIOS DE ALMACENAMIENTO Y TRANSPORTE POR DUCTO DE PETROLÍFEROS, PETROQUÍMICOS Y BIOENERGÉTICOS</dc:title>
  <dc:creator>Coordinación de tarifas de petrolíferos</dc:creator>
  <cp:keywords/>
  <cp:lastModifiedBy>CTP</cp:lastModifiedBy>
  <cp:revision>3</cp:revision>
  <dcterms:created xsi:type="dcterms:W3CDTF">2024-08-08T20:27:00Z</dcterms:created>
  <dcterms:modified xsi:type="dcterms:W3CDTF">2024-08-08T23:49:00Z</dcterms:modified>
  <dc:language>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Enero 2022</vt:lpwstr>
  </property>
  <property fmtid="{D5CDD505-2E9C-101B-9397-08002B2CF9AE}" pid="3" name="output">
    <vt:lpwstr>word_document</vt:lpwstr>
  </property>
</Properties>
</file>