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spacing w:line="240" w:lineRule="auto"/>
        <w:jc w:val="center"/>
        <w:rPr>
          <w:b w:val="1"/>
          <w:sz w:val="20"/>
          <w:szCs w:val="20"/>
        </w:rPr>
      </w:pPr>
      <w:r w:rsidDel="00000000" w:rsidR="00000000" w:rsidRPr="00000000">
        <w:rPr>
          <w:b w:val="1"/>
          <w:sz w:val="20"/>
          <w:szCs w:val="20"/>
          <w:rtl w:val="0"/>
        </w:rPr>
        <w:t xml:space="preserve">ANEXO 12</w:t>
      </w:r>
    </w:p>
    <w:p w:rsidR="00000000" w:rsidDel="00000000" w:rsidP="00000000" w:rsidRDefault="00000000" w:rsidRPr="00000000" w14:paraId="00000003">
      <w:pPr>
        <w:spacing w:before="120" w:line="240" w:lineRule="auto"/>
        <w:jc w:val="center"/>
        <w:rPr>
          <w:b w:val="1"/>
          <w:sz w:val="20"/>
          <w:szCs w:val="20"/>
        </w:rPr>
      </w:pPr>
      <w:r w:rsidDel="00000000" w:rsidR="00000000" w:rsidRPr="00000000">
        <w:rPr>
          <w:b w:val="1"/>
          <w:sz w:val="20"/>
          <w:szCs w:val="20"/>
          <w:rtl w:val="0"/>
        </w:rPr>
        <w:t xml:space="preserve">INTEGRACIÓN DE LOS CONSEJOS DE EVALUACIÓN</w:t>
      </w:r>
    </w:p>
    <w:p w:rsidR="00000000" w:rsidDel="00000000" w:rsidP="00000000" w:rsidRDefault="00000000" w:rsidRPr="00000000" w14:paraId="00000004">
      <w:pPr>
        <w:spacing w:before="120" w:line="240" w:lineRule="auto"/>
        <w:jc w:val="center"/>
        <w:rPr>
          <w:b w:val="1"/>
          <w:sz w:val="20"/>
          <w:szCs w:val="20"/>
        </w:rPr>
      </w:pPr>
      <w:r w:rsidDel="00000000" w:rsidR="00000000" w:rsidRPr="00000000">
        <w:rPr>
          <w:b w:val="1"/>
          <w:sz w:val="20"/>
          <w:szCs w:val="20"/>
          <w:rtl w:val="0"/>
        </w:rPr>
        <w:t xml:space="preserve">Modalidad de Apoyo a la conformación y preservación de acervos cinematográficos </w:t>
      </w:r>
    </w:p>
    <w:p w:rsidR="00000000" w:rsidDel="00000000" w:rsidP="00000000" w:rsidRDefault="00000000" w:rsidRPr="00000000" w14:paraId="0000000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7">
      <w:pPr>
        <w:spacing w:after="200" w:line="240" w:lineRule="auto"/>
        <w:rPr>
          <w:rFonts w:ascii="Times New Roman" w:cs="Times New Roman" w:eastAsia="Times New Roman" w:hAnsi="Times New Roman"/>
          <w:sz w:val="20"/>
          <w:szCs w:val="20"/>
        </w:rPr>
      </w:pPr>
      <w:r w:rsidDel="00000000" w:rsidR="00000000" w:rsidRPr="00000000">
        <w:rPr>
          <w:b w:val="1"/>
          <w:sz w:val="20"/>
          <w:szCs w:val="20"/>
          <w:rtl w:val="0"/>
        </w:rPr>
        <w:t xml:space="preserve">Designación del Consejo de Evaluación:</w:t>
      </w:r>
      <w:r w:rsidDel="00000000" w:rsidR="00000000" w:rsidRPr="00000000">
        <w:rPr>
          <w:rtl w:val="0"/>
        </w:rPr>
      </w:r>
    </w:p>
    <w:p w:rsidR="00000000" w:rsidDel="00000000" w:rsidP="00000000" w:rsidRDefault="00000000" w:rsidRPr="00000000" w14:paraId="00000008">
      <w:pPr>
        <w:jc w:val="both"/>
        <w:rPr>
          <w:sz w:val="20"/>
          <w:szCs w:val="20"/>
        </w:rPr>
      </w:pPr>
      <w:r w:rsidDel="00000000" w:rsidR="00000000" w:rsidRPr="00000000">
        <w:rPr>
          <w:sz w:val="20"/>
          <w:szCs w:val="20"/>
          <w:rtl w:val="0"/>
        </w:rPr>
        <w:t xml:space="preserve">Mediante el registro público disponible en la web del IMCINE, los diferentes sectores de las comunidades cinematográficas de todos los estados del país podrán realizar su registro, se dispondrá de un padrón con las personas físicas que hayan sido parte de proyectos beneficiados en convocatorias anteriores (retribución social), o bien por auto postulación, se integrarán grupos de personas con experiencia y reconocimiento, divididos por mujeres y hombres, por especialidades y residencia, designadas mediante insaculación para integrar Consejos de Evaluación plurales, con equidad de género y representación de las diferentes entidades federativas.</w:t>
      </w:r>
    </w:p>
    <w:p w:rsidR="00000000" w:rsidDel="00000000" w:rsidP="00000000" w:rsidRDefault="00000000" w:rsidRPr="00000000" w14:paraId="00000009">
      <w:pPr>
        <w:jc w:val="both"/>
        <w:rPr>
          <w:sz w:val="20"/>
          <w:szCs w:val="20"/>
        </w:rPr>
      </w:pPr>
      <w:r w:rsidDel="00000000" w:rsidR="00000000" w:rsidRPr="00000000">
        <w:rPr>
          <w:rtl w:val="0"/>
        </w:rPr>
      </w:r>
    </w:p>
    <w:p w:rsidR="00000000" w:rsidDel="00000000" w:rsidP="00000000" w:rsidRDefault="00000000" w:rsidRPr="00000000" w14:paraId="0000000A">
      <w:pPr>
        <w:jc w:val="both"/>
        <w:rPr>
          <w:sz w:val="20"/>
          <w:szCs w:val="20"/>
        </w:rPr>
      </w:pPr>
      <w:r w:rsidDel="00000000" w:rsidR="00000000" w:rsidRPr="00000000">
        <w:rPr>
          <w:sz w:val="20"/>
          <w:szCs w:val="20"/>
          <w:rtl w:val="0"/>
        </w:rPr>
        <w:t xml:space="preserve">Posteriormente se les enviará la notificación de que fueron insaculados y se solicitará la confirmación de su disponibilidad para formar parte de los Consejos de Evaluación. Una vez confirmada la participación se les informará el número de proyectos y fechas para la evaluación.</w:t>
      </w:r>
    </w:p>
    <w:p w:rsidR="00000000" w:rsidDel="00000000" w:rsidP="00000000" w:rsidRDefault="00000000" w:rsidRPr="00000000" w14:paraId="0000000B">
      <w:pPr>
        <w:jc w:val="both"/>
        <w:rPr>
          <w:sz w:val="20"/>
          <w:szCs w:val="20"/>
        </w:rPr>
      </w:pPr>
      <w:r w:rsidDel="00000000" w:rsidR="00000000" w:rsidRPr="00000000">
        <w:rPr>
          <w:rtl w:val="0"/>
        </w:rPr>
      </w:r>
    </w:p>
    <w:p w:rsidR="00000000" w:rsidDel="00000000" w:rsidP="00000000" w:rsidRDefault="00000000" w:rsidRPr="00000000" w14:paraId="0000000C">
      <w:pPr>
        <w:jc w:val="both"/>
        <w:rPr>
          <w:sz w:val="20"/>
          <w:szCs w:val="20"/>
        </w:rPr>
      </w:pPr>
      <w:r w:rsidDel="00000000" w:rsidR="00000000" w:rsidRPr="00000000">
        <w:rPr>
          <w:sz w:val="20"/>
          <w:szCs w:val="20"/>
          <w:rtl w:val="0"/>
        </w:rPr>
        <w:t xml:space="preserve">Tendrán la función y responsabilidad de analizar, evaluar y seleccionar aquellos proyectos que sean susceptibles de recibir apoyos, vía subsidios, y sus recomendaciones serán vinculantes para la autorización de la Dirección de Vinculación Regional y Comunitaria (DVRC).</w:t>
      </w:r>
    </w:p>
    <w:p w:rsidR="00000000" w:rsidDel="00000000" w:rsidP="00000000" w:rsidRDefault="00000000" w:rsidRPr="00000000" w14:paraId="0000000D">
      <w:pPr>
        <w:jc w:val="both"/>
        <w:rPr>
          <w:sz w:val="20"/>
          <w:szCs w:val="20"/>
        </w:rPr>
      </w:pPr>
      <w:r w:rsidDel="00000000" w:rsidR="00000000" w:rsidRPr="00000000">
        <w:rPr>
          <w:rtl w:val="0"/>
        </w:rPr>
      </w:r>
    </w:p>
    <w:p w:rsidR="00000000" w:rsidDel="00000000" w:rsidP="00000000" w:rsidRDefault="00000000" w:rsidRPr="00000000" w14:paraId="0000000E">
      <w:pPr>
        <w:jc w:val="both"/>
        <w:rPr>
          <w:sz w:val="20"/>
          <w:szCs w:val="20"/>
        </w:rPr>
      </w:pPr>
      <w:r w:rsidDel="00000000" w:rsidR="00000000" w:rsidRPr="00000000">
        <w:rPr>
          <w:sz w:val="20"/>
          <w:szCs w:val="20"/>
          <w:rtl w:val="0"/>
        </w:rPr>
        <w:t xml:space="preserve">Para formar parte del Consejo de Evaluación, las personas que integrarán el padrón a insacular ante Notario Público, deberán cumplir con los siguientes requisitos:</w:t>
      </w:r>
    </w:p>
    <w:p w:rsidR="00000000" w:rsidDel="00000000" w:rsidP="00000000" w:rsidRDefault="00000000" w:rsidRPr="00000000" w14:paraId="0000000F">
      <w:pPr>
        <w:spacing w:line="240" w:lineRule="auto"/>
        <w:jc w:val="both"/>
        <w:rPr>
          <w:sz w:val="20"/>
          <w:szCs w:val="20"/>
        </w:rPr>
      </w:pPr>
      <w:r w:rsidDel="00000000" w:rsidR="00000000" w:rsidRPr="00000000">
        <w:rPr>
          <w:rtl w:val="0"/>
        </w:rPr>
      </w:r>
    </w:p>
    <w:p w:rsidR="00000000" w:rsidDel="00000000" w:rsidP="00000000" w:rsidRDefault="00000000" w:rsidRPr="00000000" w14:paraId="00000010">
      <w:pPr>
        <w:numPr>
          <w:ilvl w:val="0"/>
          <w:numId w:val="4"/>
        </w:numPr>
        <w:spacing w:line="240" w:lineRule="auto"/>
        <w:ind w:left="720" w:hanging="360"/>
        <w:jc w:val="both"/>
        <w:rPr>
          <w:rFonts w:ascii="Arial" w:cs="Arial" w:eastAsia="Arial" w:hAnsi="Arial"/>
          <w:sz w:val="20"/>
          <w:szCs w:val="20"/>
        </w:rPr>
      </w:pPr>
      <w:r w:rsidDel="00000000" w:rsidR="00000000" w:rsidRPr="00000000">
        <w:rPr>
          <w:sz w:val="20"/>
          <w:szCs w:val="20"/>
          <w:rtl w:val="0"/>
        </w:rPr>
        <w:t xml:space="preserve">Identificación oficial vigente con fotografía (credencial de elector, cédula profesional o pasaporte).</w:t>
      </w:r>
      <w:r w:rsidDel="00000000" w:rsidR="00000000" w:rsidRPr="00000000">
        <w:rPr>
          <w:rtl w:val="0"/>
        </w:rPr>
      </w:r>
    </w:p>
    <w:p w:rsidR="00000000" w:rsidDel="00000000" w:rsidP="00000000" w:rsidRDefault="00000000" w:rsidRPr="00000000" w14:paraId="00000011">
      <w:pPr>
        <w:numPr>
          <w:ilvl w:val="0"/>
          <w:numId w:val="4"/>
        </w:numPr>
        <w:spacing w:line="240" w:lineRule="auto"/>
        <w:ind w:left="720" w:hanging="360"/>
        <w:jc w:val="both"/>
        <w:rPr>
          <w:rFonts w:ascii="Arial" w:cs="Arial" w:eastAsia="Arial" w:hAnsi="Arial"/>
          <w:sz w:val="20"/>
          <w:szCs w:val="20"/>
        </w:rPr>
      </w:pPr>
      <w:r w:rsidDel="00000000" w:rsidR="00000000" w:rsidRPr="00000000">
        <w:rPr>
          <w:sz w:val="20"/>
          <w:szCs w:val="20"/>
          <w:rtl w:val="0"/>
        </w:rPr>
        <w:t xml:space="preserve">Semblanza (actualizada) que acredite experiencia en materia cinematográfica, ya sea en producción, preservación y/o conformación de acervos o bien actividades afines.</w:t>
      </w:r>
      <w:r w:rsidDel="00000000" w:rsidR="00000000" w:rsidRPr="00000000">
        <w:rPr>
          <w:rtl w:val="0"/>
        </w:rPr>
      </w:r>
    </w:p>
    <w:p w:rsidR="00000000" w:rsidDel="00000000" w:rsidP="00000000" w:rsidRDefault="00000000" w:rsidRPr="00000000" w14:paraId="00000012">
      <w:pPr>
        <w:spacing w:line="240" w:lineRule="auto"/>
        <w:rPr>
          <w:b w:val="1"/>
          <w:sz w:val="20"/>
          <w:szCs w:val="20"/>
        </w:rPr>
      </w:pPr>
      <w:r w:rsidDel="00000000" w:rsidR="00000000" w:rsidRPr="00000000">
        <w:rPr>
          <w:rtl w:val="0"/>
        </w:rPr>
      </w:r>
    </w:p>
    <w:p w:rsidR="00000000" w:rsidDel="00000000" w:rsidP="00000000" w:rsidRDefault="00000000" w:rsidRPr="00000000" w14:paraId="00000013">
      <w:pPr>
        <w:spacing w:line="240" w:lineRule="auto"/>
        <w:rPr>
          <w:b w:val="1"/>
          <w:sz w:val="20"/>
          <w:szCs w:val="20"/>
        </w:rPr>
      </w:pPr>
      <w:r w:rsidDel="00000000" w:rsidR="00000000" w:rsidRPr="00000000">
        <w:rPr>
          <w:b w:val="1"/>
          <w:sz w:val="20"/>
          <w:szCs w:val="20"/>
          <w:rtl w:val="0"/>
        </w:rPr>
        <w:t xml:space="preserve">Proceso de evaluación y recomendación:</w:t>
      </w:r>
    </w:p>
    <w:p w:rsidR="00000000" w:rsidDel="00000000" w:rsidP="00000000" w:rsidRDefault="00000000" w:rsidRPr="00000000" w14:paraId="00000014">
      <w:pPr>
        <w:spacing w:line="240" w:lineRule="auto"/>
        <w:rPr>
          <w:b w:val="1"/>
          <w:sz w:val="20"/>
          <w:szCs w:val="20"/>
        </w:rPr>
      </w:pPr>
      <w:r w:rsidDel="00000000" w:rsidR="00000000" w:rsidRPr="00000000">
        <w:rPr>
          <w:rtl w:val="0"/>
        </w:rPr>
      </w:r>
    </w:p>
    <w:p w:rsidR="00000000" w:rsidDel="00000000" w:rsidP="00000000" w:rsidRDefault="00000000" w:rsidRPr="00000000" w14:paraId="00000015">
      <w:pPr>
        <w:jc w:val="both"/>
        <w:rPr>
          <w:sz w:val="20"/>
          <w:szCs w:val="20"/>
        </w:rPr>
      </w:pPr>
      <w:r w:rsidDel="00000000" w:rsidR="00000000" w:rsidRPr="00000000">
        <w:rPr>
          <w:sz w:val="20"/>
          <w:szCs w:val="20"/>
          <w:rtl w:val="0"/>
        </w:rPr>
        <w:t xml:space="preserve">Los Consejos de Evaluación podrán estar integrados por un mínimo de 3 integrantes, en número impar, para evaluar hasta 20 proyectos.</w:t>
      </w:r>
    </w:p>
    <w:p w:rsidR="00000000" w:rsidDel="00000000" w:rsidP="00000000" w:rsidRDefault="00000000" w:rsidRPr="00000000" w14:paraId="00000016">
      <w:pPr>
        <w:jc w:val="both"/>
        <w:rPr>
          <w:sz w:val="20"/>
          <w:szCs w:val="20"/>
        </w:rPr>
      </w:pPr>
      <w:r w:rsidDel="00000000" w:rsidR="00000000" w:rsidRPr="00000000">
        <w:rPr>
          <w:rtl w:val="0"/>
        </w:rPr>
      </w:r>
    </w:p>
    <w:p w:rsidR="00000000" w:rsidDel="00000000" w:rsidP="00000000" w:rsidRDefault="00000000" w:rsidRPr="00000000" w14:paraId="00000017">
      <w:pPr>
        <w:jc w:val="both"/>
        <w:rPr>
          <w:sz w:val="20"/>
          <w:szCs w:val="20"/>
        </w:rPr>
      </w:pPr>
      <w:r w:rsidDel="00000000" w:rsidR="00000000" w:rsidRPr="00000000">
        <w:rPr>
          <w:sz w:val="20"/>
          <w:szCs w:val="20"/>
          <w:rtl w:val="0"/>
        </w:rPr>
        <w:t xml:space="preserve">Las personas que integren los Consejos de Evaluación deberán abstenerse de intervenir en las sesiones que tengan por objeto analizar o evaluar proyectos de conformación y preservación de acervos en los que se pueda incurrir en un posible conflicto de interés, en cuyo caso deberán notificarlo a la DVRC y excusarse de emitir opinión y voto sobre el proyecto en conflicto, quedando asentado en el acta correspondiente. </w:t>
      </w:r>
    </w:p>
    <w:p w:rsidR="00000000" w:rsidDel="00000000" w:rsidP="00000000" w:rsidRDefault="00000000" w:rsidRPr="00000000" w14:paraId="00000018">
      <w:pPr>
        <w:jc w:val="both"/>
        <w:rPr>
          <w:sz w:val="20"/>
          <w:szCs w:val="20"/>
        </w:rPr>
      </w:pPr>
      <w:r w:rsidDel="00000000" w:rsidR="00000000" w:rsidRPr="00000000">
        <w:rPr>
          <w:rtl w:val="0"/>
        </w:rPr>
      </w:r>
    </w:p>
    <w:p w:rsidR="00000000" w:rsidDel="00000000" w:rsidP="00000000" w:rsidRDefault="00000000" w:rsidRPr="00000000" w14:paraId="00000019">
      <w:pPr>
        <w:jc w:val="both"/>
        <w:rPr>
          <w:sz w:val="20"/>
          <w:szCs w:val="20"/>
        </w:rPr>
      </w:pPr>
      <w:r w:rsidDel="00000000" w:rsidR="00000000" w:rsidRPr="00000000">
        <w:rPr>
          <w:sz w:val="20"/>
          <w:szCs w:val="20"/>
          <w:rtl w:val="0"/>
        </w:rPr>
        <w:t xml:space="preserve">Sus integrantes contarán con un plazo máximo para el análisis y revisión de los proyectos de 30 días hábiles contados a partir de la recepción de la información, y se reunirán en una sesión el día y hora acordados.</w:t>
      </w:r>
    </w:p>
    <w:p w:rsidR="00000000" w:rsidDel="00000000" w:rsidP="00000000" w:rsidRDefault="00000000" w:rsidRPr="00000000" w14:paraId="0000001A">
      <w:pPr>
        <w:jc w:val="both"/>
        <w:rPr>
          <w:sz w:val="20"/>
          <w:szCs w:val="20"/>
        </w:rPr>
      </w:pPr>
      <w:r w:rsidDel="00000000" w:rsidR="00000000" w:rsidRPr="00000000">
        <w:rPr>
          <w:rtl w:val="0"/>
        </w:rPr>
      </w:r>
    </w:p>
    <w:p w:rsidR="00000000" w:rsidDel="00000000" w:rsidP="00000000" w:rsidRDefault="00000000" w:rsidRPr="00000000" w14:paraId="0000001B">
      <w:pPr>
        <w:jc w:val="both"/>
        <w:rPr>
          <w:sz w:val="20"/>
          <w:szCs w:val="20"/>
        </w:rPr>
      </w:pPr>
      <w:r w:rsidDel="00000000" w:rsidR="00000000" w:rsidRPr="00000000">
        <w:rPr>
          <w:sz w:val="20"/>
          <w:szCs w:val="20"/>
          <w:rtl w:val="0"/>
        </w:rPr>
        <w:t xml:space="preserve">Presidirá la sesión la persona que decidan los integrantes del consejo o se auto postule y sea elegida por mayoría de votos en cada una de las sesiones. </w:t>
      </w:r>
    </w:p>
    <w:p w:rsidR="00000000" w:rsidDel="00000000" w:rsidP="00000000" w:rsidRDefault="00000000" w:rsidRPr="00000000" w14:paraId="0000001C">
      <w:pPr>
        <w:jc w:val="both"/>
        <w:rPr>
          <w:sz w:val="20"/>
          <w:szCs w:val="20"/>
        </w:rPr>
      </w:pPr>
      <w:r w:rsidDel="00000000" w:rsidR="00000000" w:rsidRPr="00000000">
        <w:rPr>
          <w:rtl w:val="0"/>
        </w:rPr>
      </w:r>
    </w:p>
    <w:p w:rsidR="00000000" w:rsidDel="00000000" w:rsidP="00000000" w:rsidRDefault="00000000" w:rsidRPr="00000000" w14:paraId="0000001D">
      <w:pPr>
        <w:jc w:val="both"/>
        <w:rPr>
          <w:sz w:val="20"/>
          <w:szCs w:val="20"/>
        </w:rPr>
      </w:pPr>
      <w:r w:rsidDel="00000000" w:rsidR="00000000" w:rsidRPr="00000000">
        <w:rPr>
          <w:sz w:val="20"/>
          <w:szCs w:val="20"/>
          <w:rtl w:val="0"/>
        </w:rPr>
        <w:t xml:space="preserve">Habrá quórum cuando concurran la mayoría de sus miembros y los acuerdos se tomarán por mayoría simple de votos; en caso de empate, el miembro que presida tendrá voto de calidad. Sus recomendaciones son inapelables.</w:t>
      </w:r>
    </w:p>
    <w:p w:rsidR="00000000" w:rsidDel="00000000" w:rsidP="00000000" w:rsidRDefault="00000000" w:rsidRPr="00000000" w14:paraId="0000001E">
      <w:pPr>
        <w:jc w:val="both"/>
        <w:rPr>
          <w:sz w:val="20"/>
          <w:szCs w:val="20"/>
        </w:rPr>
      </w:pPr>
      <w:r w:rsidDel="00000000" w:rsidR="00000000" w:rsidRPr="00000000">
        <w:rPr>
          <w:rtl w:val="0"/>
        </w:rPr>
      </w:r>
    </w:p>
    <w:p w:rsidR="00000000" w:rsidDel="00000000" w:rsidP="00000000" w:rsidRDefault="00000000" w:rsidRPr="00000000" w14:paraId="0000001F">
      <w:pPr>
        <w:jc w:val="both"/>
        <w:rPr>
          <w:sz w:val="20"/>
          <w:szCs w:val="20"/>
        </w:rPr>
      </w:pPr>
      <w:r w:rsidDel="00000000" w:rsidR="00000000" w:rsidRPr="00000000">
        <w:rPr>
          <w:sz w:val="20"/>
          <w:szCs w:val="20"/>
          <w:rtl w:val="0"/>
        </w:rPr>
        <w:t xml:space="preserve">La persona titular de la DVRC y hasta tres miembros podrán asistir, con voz pero sin voto, a las sesiones de los Consejos de Evaluación para moderar su desarrollo, atender cualquier situación que se pudiera presentar con la información de los proyectos y los criterios de evaluación, así como elaborar el acta correspondiente. </w:t>
      </w:r>
    </w:p>
    <w:p w:rsidR="00000000" w:rsidDel="00000000" w:rsidP="00000000" w:rsidRDefault="00000000" w:rsidRPr="00000000" w14:paraId="00000020">
      <w:pPr>
        <w:jc w:val="both"/>
        <w:rPr>
          <w:sz w:val="20"/>
          <w:szCs w:val="20"/>
        </w:rPr>
      </w:pPr>
      <w:r w:rsidDel="00000000" w:rsidR="00000000" w:rsidRPr="00000000">
        <w:rPr>
          <w:rtl w:val="0"/>
        </w:rPr>
      </w:r>
    </w:p>
    <w:p w:rsidR="00000000" w:rsidDel="00000000" w:rsidP="00000000" w:rsidRDefault="00000000" w:rsidRPr="00000000" w14:paraId="00000021">
      <w:pPr>
        <w:jc w:val="both"/>
        <w:rPr>
          <w:strike w:val="1"/>
          <w:sz w:val="20"/>
          <w:szCs w:val="20"/>
        </w:rPr>
      </w:pPr>
      <w:r w:rsidDel="00000000" w:rsidR="00000000" w:rsidRPr="00000000">
        <w:rPr>
          <w:sz w:val="20"/>
          <w:szCs w:val="20"/>
          <w:rtl w:val="0"/>
        </w:rPr>
        <w:t xml:space="preserve">Los proyectos inscritos podrán ser distribuidos, dependiendo de su número, en los Consejos de Evaluación necesarios. Sus recomendaciones quedarán asentadas en el acta de la sesión, incluyendo las de los proyectos </w:t>
      </w:r>
      <w:r w:rsidDel="00000000" w:rsidR="00000000" w:rsidRPr="00000000">
        <w:rPr>
          <w:b w:val="1"/>
          <w:i w:val="1"/>
          <w:color w:val="0000ff"/>
          <w:sz w:val="20"/>
          <w:szCs w:val="20"/>
          <w:u w:val="single"/>
          <w:rtl w:val="0"/>
        </w:rPr>
        <w:t xml:space="preserve">susceptibles de recibir apoyo</w:t>
      </w:r>
      <w:r w:rsidDel="00000000" w:rsidR="00000000" w:rsidRPr="00000000">
        <w:rPr>
          <w:sz w:val="20"/>
          <w:szCs w:val="20"/>
          <w:rtl w:val="0"/>
        </w:rPr>
        <w:t xml:space="preserve">. Quedarán excluidos los proyectos en continuidad, los cuales no serán evaluados por este consejo.</w:t>
      </w:r>
      <w:r w:rsidDel="00000000" w:rsidR="00000000" w:rsidRPr="00000000">
        <w:rPr>
          <w:rtl w:val="0"/>
        </w:rPr>
      </w:r>
    </w:p>
    <w:p w:rsidR="00000000" w:rsidDel="00000000" w:rsidP="00000000" w:rsidRDefault="00000000" w:rsidRPr="00000000" w14:paraId="00000022">
      <w:pPr>
        <w:jc w:val="both"/>
        <w:rPr>
          <w:strike w:val="1"/>
          <w:sz w:val="20"/>
          <w:szCs w:val="20"/>
        </w:rPr>
      </w:pPr>
      <w:r w:rsidDel="00000000" w:rsidR="00000000" w:rsidRPr="00000000">
        <w:rPr>
          <w:rtl w:val="0"/>
        </w:rPr>
      </w:r>
    </w:p>
    <w:p w:rsidR="00000000" w:rsidDel="00000000" w:rsidP="00000000" w:rsidRDefault="00000000" w:rsidRPr="00000000" w14:paraId="00000023">
      <w:pPr>
        <w:jc w:val="both"/>
        <w:rPr>
          <w:sz w:val="20"/>
          <w:szCs w:val="20"/>
        </w:rPr>
      </w:pPr>
      <w:r w:rsidDel="00000000" w:rsidR="00000000" w:rsidRPr="00000000">
        <w:rPr>
          <w:sz w:val="20"/>
          <w:szCs w:val="20"/>
          <w:rtl w:val="0"/>
        </w:rPr>
        <w:t xml:space="preserve">La recomendación de los proyectos emitida por los Consejos de Evaluación se establecerá considerando los principios de igualdad de género e inclusión.</w:t>
      </w:r>
    </w:p>
    <w:p w:rsidR="00000000" w:rsidDel="00000000" w:rsidP="00000000" w:rsidRDefault="00000000" w:rsidRPr="00000000" w14:paraId="00000024">
      <w:pPr>
        <w:jc w:val="both"/>
        <w:rPr>
          <w:sz w:val="20"/>
          <w:szCs w:val="20"/>
        </w:rPr>
      </w:pPr>
      <w:r w:rsidDel="00000000" w:rsidR="00000000" w:rsidRPr="00000000">
        <w:rPr>
          <w:rtl w:val="0"/>
        </w:rPr>
      </w:r>
    </w:p>
    <w:p w:rsidR="00000000" w:rsidDel="00000000" w:rsidP="00000000" w:rsidRDefault="00000000" w:rsidRPr="00000000" w14:paraId="00000025">
      <w:pPr>
        <w:jc w:val="both"/>
        <w:rPr>
          <w:sz w:val="20"/>
          <w:szCs w:val="20"/>
        </w:rPr>
      </w:pPr>
      <w:r w:rsidDel="00000000" w:rsidR="00000000" w:rsidRPr="00000000">
        <w:rPr>
          <w:sz w:val="20"/>
          <w:szCs w:val="20"/>
          <w:rtl w:val="0"/>
        </w:rPr>
        <w:t xml:space="preserve">La recomendación de los proyectos se hará conforme a los siguientes criterios de evaluación:</w:t>
      </w:r>
    </w:p>
    <w:p w:rsidR="00000000" w:rsidDel="00000000" w:rsidP="00000000" w:rsidRDefault="00000000" w:rsidRPr="00000000" w14:paraId="00000026">
      <w:pPr>
        <w:jc w:val="both"/>
        <w:rPr>
          <w:sz w:val="20"/>
          <w:szCs w:val="20"/>
        </w:rPr>
      </w:pPr>
      <w:r w:rsidDel="00000000" w:rsidR="00000000" w:rsidRPr="00000000">
        <w:rPr>
          <w:rtl w:val="0"/>
        </w:rPr>
      </w:r>
    </w:p>
    <w:p w:rsidR="00000000" w:rsidDel="00000000" w:rsidP="00000000" w:rsidRDefault="00000000" w:rsidRPr="00000000" w14:paraId="00000027">
      <w:pPr>
        <w:numPr>
          <w:ilvl w:val="0"/>
          <w:numId w:val="2"/>
        </w:numPr>
        <w:ind w:left="1440" w:hanging="360"/>
        <w:jc w:val="both"/>
        <w:rPr>
          <w:sz w:val="20"/>
          <w:szCs w:val="20"/>
          <w:u w:val="none"/>
        </w:rPr>
      </w:pPr>
      <w:r w:rsidDel="00000000" w:rsidR="00000000" w:rsidRPr="00000000">
        <w:rPr>
          <w:sz w:val="20"/>
          <w:szCs w:val="20"/>
          <w:rtl w:val="0"/>
        </w:rPr>
        <w:t xml:space="preserve">Calidad técnica, cultural y artística del proyecto.</w:t>
      </w:r>
      <w:r w:rsidDel="00000000" w:rsidR="00000000" w:rsidRPr="00000000">
        <w:rPr>
          <w:rtl w:val="0"/>
        </w:rPr>
      </w:r>
    </w:p>
    <w:p w:rsidR="00000000" w:rsidDel="00000000" w:rsidP="00000000" w:rsidRDefault="00000000" w:rsidRPr="00000000" w14:paraId="00000028">
      <w:pPr>
        <w:numPr>
          <w:ilvl w:val="0"/>
          <w:numId w:val="2"/>
        </w:numPr>
        <w:ind w:left="1440" w:hanging="360"/>
        <w:jc w:val="both"/>
        <w:rPr>
          <w:sz w:val="20"/>
          <w:szCs w:val="20"/>
          <w:u w:val="none"/>
        </w:rPr>
      </w:pPr>
      <w:r w:rsidDel="00000000" w:rsidR="00000000" w:rsidRPr="00000000">
        <w:rPr>
          <w:sz w:val="20"/>
          <w:szCs w:val="20"/>
          <w:rtl w:val="0"/>
        </w:rPr>
        <w:t xml:space="preserve">La adecuada correspondencia con los recursos técnicos, económicos y artísticos que se plantean para el proyecto.</w:t>
      </w:r>
      <w:r w:rsidDel="00000000" w:rsidR="00000000" w:rsidRPr="00000000">
        <w:rPr>
          <w:rtl w:val="0"/>
        </w:rPr>
      </w:r>
    </w:p>
    <w:p w:rsidR="00000000" w:rsidDel="00000000" w:rsidP="00000000" w:rsidRDefault="00000000" w:rsidRPr="00000000" w14:paraId="00000029">
      <w:pPr>
        <w:numPr>
          <w:ilvl w:val="0"/>
          <w:numId w:val="2"/>
        </w:numPr>
        <w:ind w:left="1440" w:hanging="360"/>
        <w:jc w:val="both"/>
        <w:rPr>
          <w:sz w:val="20"/>
          <w:szCs w:val="20"/>
          <w:u w:val="none"/>
        </w:rPr>
      </w:pPr>
      <w:r w:rsidDel="00000000" w:rsidR="00000000" w:rsidRPr="00000000">
        <w:rPr>
          <w:sz w:val="20"/>
          <w:szCs w:val="20"/>
          <w:rtl w:val="0"/>
        </w:rPr>
        <w:t xml:space="preserve">El valor de las aportaciones de terceros.</w:t>
      </w:r>
      <w:r w:rsidDel="00000000" w:rsidR="00000000" w:rsidRPr="00000000">
        <w:rPr>
          <w:rtl w:val="0"/>
        </w:rPr>
      </w:r>
    </w:p>
    <w:p w:rsidR="00000000" w:rsidDel="00000000" w:rsidP="00000000" w:rsidRDefault="00000000" w:rsidRPr="00000000" w14:paraId="0000002A">
      <w:pPr>
        <w:numPr>
          <w:ilvl w:val="0"/>
          <w:numId w:val="2"/>
        </w:numPr>
        <w:ind w:left="1440" w:hanging="360"/>
        <w:jc w:val="both"/>
        <w:rPr>
          <w:sz w:val="20"/>
          <w:szCs w:val="20"/>
          <w:u w:val="none"/>
        </w:rPr>
      </w:pPr>
      <w:r w:rsidDel="00000000" w:rsidR="00000000" w:rsidRPr="00000000">
        <w:rPr>
          <w:sz w:val="20"/>
          <w:szCs w:val="20"/>
          <w:rtl w:val="0"/>
        </w:rPr>
        <w:t xml:space="preserve">La trayectoria de los gestores y técnicos involucrados.</w:t>
      </w:r>
      <w:r w:rsidDel="00000000" w:rsidR="00000000" w:rsidRPr="00000000">
        <w:rPr>
          <w:rtl w:val="0"/>
        </w:rPr>
      </w:r>
    </w:p>
    <w:p w:rsidR="00000000" w:rsidDel="00000000" w:rsidP="00000000" w:rsidRDefault="00000000" w:rsidRPr="00000000" w14:paraId="0000002B">
      <w:pPr>
        <w:spacing w:line="240" w:lineRule="auto"/>
        <w:rPr>
          <w:b w:val="1"/>
          <w:sz w:val="20"/>
          <w:szCs w:val="20"/>
        </w:rPr>
      </w:pPr>
      <w:r w:rsidDel="00000000" w:rsidR="00000000" w:rsidRPr="00000000">
        <w:rPr>
          <w:rtl w:val="0"/>
        </w:rPr>
      </w:r>
    </w:p>
    <w:p w:rsidR="00000000" w:rsidDel="00000000" w:rsidP="00000000" w:rsidRDefault="00000000" w:rsidRPr="00000000" w14:paraId="0000002C">
      <w:pPr>
        <w:spacing w:line="240" w:lineRule="auto"/>
        <w:rPr>
          <w:b w:val="1"/>
          <w:sz w:val="20"/>
          <w:szCs w:val="20"/>
        </w:rPr>
      </w:pPr>
      <w:r w:rsidDel="00000000" w:rsidR="00000000" w:rsidRPr="00000000">
        <w:rPr>
          <w:rtl w:val="0"/>
        </w:rPr>
      </w:r>
    </w:p>
    <w:p w:rsidR="00000000" w:rsidDel="00000000" w:rsidP="00000000" w:rsidRDefault="00000000" w:rsidRPr="00000000" w14:paraId="0000002D">
      <w:pPr>
        <w:ind w:left="100" w:right="100" w:firstLine="0"/>
        <w:jc w:val="both"/>
        <w:rPr>
          <w:color w:val="0000ff"/>
          <w:sz w:val="20"/>
          <w:szCs w:val="20"/>
        </w:rPr>
      </w:pPr>
      <w:r w:rsidDel="00000000" w:rsidR="00000000" w:rsidRPr="00000000">
        <w:rPr>
          <w:color w:val="0000ff"/>
          <w:sz w:val="20"/>
          <w:szCs w:val="20"/>
          <w:rtl w:val="0"/>
        </w:rPr>
        <w:t xml:space="preserve">Con el objetivo de avanzar en la inclusión y que los apoyos alcancen diferentes regiones y se promueva un desarrollo cinematográfico más equitativo, el Consejo de Evaluación podrá priorizar su recomendaciones tomando en cuenta lo siguiente:</w:t>
      </w:r>
    </w:p>
    <w:p w:rsidR="00000000" w:rsidDel="00000000" w:rsidP="00000000" w:rsidRDefault="00000000" w:rsidRPr="00000000" w14:paraId="0000002E">
      <w:pPr>
        <w:ind w:left="100" w:right="100" w:firstLine="0"/>
        <w:jc w:val="both"/>
        <w:rPr>
          <w:color w:val="0000ff"/>
          <w:sz w:val="20"/>
          <w:szCs w:val="20"/>
        </w:rPr>
      </w:pPr>
      <w:r w:rsidDel="00000000" w:rsidR="00000000" w:rsidRPr="00000000">
        <w:rPr>
          <w:rtl w:val="0"/>
        </w:rPr>
      </w:r>
    </w:p>
    <w:p w:rsidR="00000000" w:rsidDel="00000000" w:rsidP="00000000" w:rsidRDefault="00000000" w:rsidRPr="00000000" w14:paraId="0000002F">
      <w:pPr>
        <w:numPr>
          <w:ilvl w:val="0"/>
          <w:numId w:val="3"/>
        </w:numPr>
        <w:tabs>
          <w:tab w:val="left" w:leader="none" w:pos="567"/>
        </w:tabs>
        <w:ind w:left="1585" w:right="100" w:hanging="360"/>
        <w:jc w:val="both"/>
        <w:rPr>
          <w:color w:val="0000ff"/>
          <w:sz w:val="20"/>
          <w:szCs w:val="20"/>
        </w:rPr>
      </w:pPr>
      <w:r w:rsidDel="00000000" w:rsidR="00000000" w:rsidRPr="00000000">
        <w:rPr>
          <w:color w:val="0000ff"/>
          <w:sz w:val="20"/>
          <w:szCs w:val="20"/>
          <w:rtl w:val="0"/>
        </w:rPr>
        <w:t xml:space="preserve">Proyectos dirigidos por mujeres (no en co-dirección).</w:t>
      </w:r>
    </w:p>
    <w:p w:rsidR="00000000" w:rsidDel="00000000" w:rsidP="00000000" w:rsidRDefault="00000000" w:rsidRPr="00000000" w14:paraId="00000030">
      <w:pPr>
        <w:numPr>
          <w:ilvl w:val="0"/>
          <w:numId w:val="3"/>
        </w:numPr>
        <w:tabs>
          <w:tab w:val="left" w:leader="none" w:pos="567"/>
        </w:tabs>
        <w:ind w:left="1585" w:right="100" w:hanging="360"/>
        <w:jc w:val="both"/>
        <w:rPr>
          <w:color w:val="0000ff"/>
          <w:sz w:val="20"/>
          <w:szCs w:val="20"/>
        </w:rPr>
      </w:pPr>
      <w:r w:rsidDel="00000000" w:rsidR="00000000" w:rsidRPr="00000000">
        <w:rPr>
          <w:color w:val="0000ff"/>
          <w:sz w:val="20"/>
          <w:szCs w:val="20"/>
          <w:rtl w:val="0"/>
        </w:rPr>
        <w:t xml:space="preserve">Proyectos dirigidos por una persona indígena o afromexicana, acreditando dicha condición por autoadscripción y/o a través del certificado emitido por la asamblea comunitaria del pueblo al cual pertenezca, lo cual deberán manifestar o adjuntar en la descripción del proyecto.</w:t>
      </w:r>
    </w:p>
    <w:p w:rsidR="00000000" w:rsidDel="00000000" w:rsidP="00000000" w:rsidRDefault="00000000" w:rsidRPr="00000000" w14:paraId="00000031">
      <w:pPr>
        <w:numPr>
          <w:ilvl w:val="0"/>
          <w:numId w:val="3"/>
        </w:numPr>
        <w:tabs>
          <w:tab w:val="left" w:leader="none" w:pos="567"/>
        </w:tabs>
        <w:ind w:left="1585" w:right="100" w:hanging="360"/>
        <w:jc w:val="both"/>
        <w:rPr>
          <w:color w:val="0000ff"/>
          <w:sz w:val="20"/>
          <w:szCs w:val="20"/>
        </w:rPr>
      </w:pPr>
      <w:r w:rsidDel="00000000" w:rsidR="00000000" w:rsidRPr="00000000">
        <w:rPr>
          <w:color w:val="0000ff"/>
          <w:sz w:val="20"/>
          <w:szCs w:val="20"/>
          <w:rtl w:val="0"/>
        </w:rPr>
        <w:t xml:space="preserve">Proyectos cuya persona responsable radique fuera de la Ciudad de México.</w:t>
      </w:r>
      <w:r w:rsidDel="00000000" w:rsidR="00000000" w:rsidRPr="00000000">
        <w:rPr>
          <w:rtl w:val="0"/>
        </w:rPr>
      </w:r>
    </w:p>
    <w:p w:rsidR="00000000" w:rsidDel="00000000" w:rsidP="00000000" w:rsidRDefault="00000000" w:rsidRPr="00000000" w14:paraId="00000032">
      <w:pPr>
        <w:tabs>
          <w:tab w:val="left" w:leader="none" w:pos="567"/>
        </w:tabs>
        <w:spacing w:line="240" w:lineRule="auto"/>
        <w:ind w:left="100" w:right="100" w:firstLine="0"/>
        <w:jc w:val="both"/>
        <w:rPr>
          <w:sz w:val="20"/>
          <w:szCs w:val="20"/>
        </w:rPr>
      </w:pPr>
      <w:r w:rsidDel="00000000" w:rsidR="00000000" w:rsidRPr="00000000">
        <w:rPr>
          <w:rtl w:val="0"/>
        </w:rPr>
      </w:r>
    </w:p>
    <w:p w:rsidR="00000000" w:rsidDel="00000000" w:rsidP="00000000" w:rsidRDefault="00000000" w:rsidRPr="00000000" w14:paraId="00000033">
      <w:pPr>
        <w:spacing w:line="240" w:lineRule="auto"/>
        <w:ind w:left="100" w:right="100" w:firstLine="0"/>
        <w:jc w:val="both"/>
        <w:rPr>
          <w:b w:val="1"/>
          <w:sz w:val="20"/>
          <w:szCs w:val="20"/>
        </w:rPr>
      </w:pPr>
      <w:r w:rsidDel="00000000" w:rsidR="00000000" w:rsidRPr="00000000">
        <w:rPr>
          <w:rtl w:val="0"/>
        </w:rPr>
      </w:r>
    </w:p>
    <w:p w:rsidR="00000000" w:rsidDel="00000000" w:rsidP="00000000" w:rsidRDefault="00000000" w:rsidRPr="00000000" w14:paraId="00000034">
      <w:pPr>
        <w:spacing w:line="240" w:lineRule="auto"/>
        <w:ind w:left="100" w:right="100" w:firstLine="0"/>
        <w:jc w:val="both"/>
        <w:rPr>
          <w:b w:val="1"/>
          <w:sz w:val="20"/>
          <w:szCs w:val="20"/>
        </w:rPr>
      </w:pPr>
      <w:r w:rsidDel="00000000" w:rsidR="00000000" w:rsidRPr="00000000">
        <w:rPr>
          <w:b w:val="1"/>
          <w:sz w:val="20"/>
          <w:szCs w:val="20"/>
          <w:rtl w:val="0"/>
        </w:rPr>
        <w:t xml:space="preserve">Análisis y recomendación de proyectos inscritos:</w:t>
      </w:r>
    </w:p>
    <w:p w:rsidR="00000000" w:rsidDel="00000000" w:rsidP="00000000" w:rsidRDefault="00000000" w:rsidRPr="00000000" w14:paraId="00000035">
      <w:pPr>
        <w:spacing w:line="240" w:lineRule="auto"/>
        <w:ind w:left="100" w:right="100" w:firstLine="0"/>
        <w:jc w:val="both"/>
        <w:rPr>
          <w:sz w:val="20"/>
          <w:szCs w:val="20"/>
        </w:rPr>
      </w:pPr>
      <w:r w:rsidDel="00000000" w:rsidR="00000000" w:rsidRPr="00000000">
        <w:rPr>
          <w:rtl w:val="0"/>
        </w:rPr>
      </w:r>
    </w:p>
    <w:p w:rsidR="00000000" w:rsidDel="00000000" w:rsidP="00000000" w:rsidRDefault="00000000" w:rsidRPr="00000000" w14:paraId="00000036">
      <w:pPr>
        <w:ind w:left="100" w:right="100" w:firstLine="0"/>
        <w:jc w:val="both"/>
        <w:rPr>
          <w:sz w:val="20"/>
          <w:szCs w:val="20"/>
        </w:rPr>
      </w:pPr>
      <w:r w:rsidDel="00000000" w:rsidR="00000000" w:rsidRPr="00000000">
        <w:rPr>
          <w:sz w:val="20"/>
          <w:szCs w:val="20"/>
          <w:rtl w:val="0"/>
        </w:rPr>
        <w:t xml:space="preserve">Los Consejos de Evaluación analizarán y evaluarán conforme a sus funciones, la calidad, diversidad y viabilidad de los proyectos inscritos.</w:t>
      </w:r>
    </w:p>
    <w:p w:rsidR="00000000" w:rsidDel="00000000" w:rsidP="00000000" w:rsidRDefault="00000000" w:rsidRPr="00000000" w14:paraId="00000037">
      <w:pPr>
        <w:ind w:left="100" w:right="100" w:firstLine="0"/>
        <w:jc w:val="both"/>
        <w:rPr>
          <w:sz w:val="20"/>
          <w:szCs w:val="20"/>
        </w:rPr>
      </w:pPr>
      <w:r w:rsidDel="00000000" w:rsidR="00000000" w:rsidRPr="00000000">
        <w:rPr>
          <w:rtl w:val="0"/>
        </w:rPr>
      </w:r>
    </w:p>
    <w:p w:rsidR="00000000" w:rsidDel="00000000" w:rsidP="00000000" w:rsidRDefault="00000000" w:rsidRPr="00000000" w14:paraId="00000038">
      <w:pPr>
        <w:ind w:left="100" w:right="100" w:firstLine="0"/>
        <w:jc w:val="both"/>
        <w:rPr>
          <w:sz w:val="20"/>
          <w:szCs w:val="20"/>
        </w:rPr>
      </w:pPr>
      <w:r w:rsidDel="00000000" w:rsidR="00000000" w:rsidRPr="00000000">
        <w:rPr>
          <w:sz w:val="20"/>
          <w:szCs w:val="20"/>
          <w:rtl w:val="0"/>
        </w:rPr>
        <w:t xml:space="preserve">Emitirán sus recomendaciones las cuales quedarán asentadas en las actas de las sesiones correspondientes con el monto de apoyo.</w:t>
      </w:r>
    </w:p>
    <w:p w:rsidR="00000000" w:rsidDel="00000000" w:rsidP="00000000" w:rsidRDefault="00000000" w:rsidRPr="00000000" w14:paraId="00000039">
      <w:pPr>
        <w:ind w:left="100" w:right="100" w:firstLine="0"/>
        <w:jc w:val="both"/>
        <w:rPr>
          <w:sz w:val="20"/>
          <w:szCs w:val="20"/>
        </w:rPr>
      </w:pPr>
      <w:r w:rsidDel="00000000" w:rsidR="00000000" w:rsidRPr="00000000">
        <w:rPr>
          <w:rtl w:val="0"/>
        </w:rPr>
      </w:r>
    </w:p>
    <w:p w:rsidR="00000000" w:rsidDel="00000000" w:rsidP="00000000" w:rsidRDefault="00000000" w:rsidRPr="00000000" w14:paraId="0000003A">
      <w:pPr>
        <w:ind w:left="100" w:right="100" w:firstLine="0"/>
        <w:jc w:val="both"/>
        <w:rPr>
          <w:sz w:val="20"/>
          <w:szCs w:val="20"/>
        </w:rPr>
      </w:pPr>
      <w:r w:rsidDel="00000000" w:rsidR="00000000" w:rsidRPr="00000000">
        <w:rPr>
          <w:sz w:val="20"/>
          <w:szCs w:val="20"/>
          <w:rtl w:val="0"/>
        </w:rPr>
        <w:t xml:space="preserve">El monto de apoyo podrá ser diferente al solicitado, manifestando en el acta la justificación por el ajuste, siempre y cuando no se afecte la viabilidad de los proyectos presentados y esté en concordancia con la suficiencia presupuestaria.</w:t>
      </w:r>
    </w:p>
    <w:p w:rsidR="00000000" w:rsidDel="00000000" w:rsidP="00000000" w:rsidRDefault="00000000" w:rsidRPr="00000000" w14:paraId="0000003B">
      <w:pPr>
        <w:ind w:left="100" w:right="100" w:firstLine="0"/>
        <w:jc w:val="both"/>
        <w:rPr>
          <w:sz w:val="20"/>
          <w:szCs w:val="20"/>
        </w:rPr>
      </w:pPr>
      <w:r w:rsidDel="00000000" w:rsidR="00000000" w:rsidRPr="00000000">
        <w:rPr>
          <w:rtl w:val="0"/>
        </w:rPr>
      </w:r>
    </w:p>
    <w:p w:rsidR="00000000" w:rsidDel="00000000" w:rsidP="00000000" w:rsidRDefault="00000000" w:rsidRPr="00000000" w14:paraId="0000003C">
      <w:pPr>
        <w:ind w:left="100" w:right="100" w:firstLine="0"/>
        <w:jc w:val="both"/>
        <w:rPr>
          <w:sz w:val="20"/>
          <w:szCs w:val="20"/>
        </w:rPr>
      </w:pPr>
      <w:r w:rsidDel="00000000" w:rsidR="00000000" w:rsidRPr="00000000">
        <w:rPr>
          <w:sz w:val="20"/>
          <w:szCs w:val="20"/>
          <w:rtl w:val="0"/>
        </w:rPr>
        <w:t xml:space="preserve">El resultado de la evaluación será:</w:t>
      </w:r>
    </w:p>
    <w:p w:rsidR="00000000" w:rsidDel="00000000" w:rsidP="00000000" w:rsidRDefault="00000000" w:rsidRPr="00000000" w14:paraId="0000003D">
      <w:pPr>
        <w:numPr>
          <w:ilvl w:val="0"/>
          <w:numId w:val="1"/>
        </w:numPr>
        <w:spacing w:before="120" w:lineRule="auto"/>
        <w:ind w:left="568" w:right="102" w:hanging="284"/>
        <w:jc w:val="both"/>
        <w:rPr>
          <w:sz w:val="20"/>
          <w:szCs w:val="20"/>
        </w:rPr>
      </w:pPr>
      <w:r w:rsidDel="00000000" w:rsidR="00000000" w:rsidRPr="00000000">
        <w:rPr>
          <w:sz w:val="20"/>
          <w:szCs w:val="20"/>
          <w:rtl w:val="0"/>
        </w:rPr>
        <w:t xml:space="preserve">Recomendado exponiendo las razones y el monto de apoyo.</w:t>
      </w:r>
    </w:p>
    <w:p w:rsidR="00000000" w:rsidDel="00000000" w:rsidP="00000000" w:rsidRDefault="00000000" w:rsidRPr="00000000" w14:paraId="0000003E">
      <w:pPr>
        <w:numPr>
          <w:ilvl w:val="0"/>
          <w:numId w:val="1"/>
        </w:numPr>
        <w:spacing w:before="120" w:lineRule="auto"/>
        <w:ind w:left="568" w:right="102" w:hanging="284"/>
        <w:jc w:val="both"/>
        <w:rPr>
          <w:sz w:val="20"/>
          <w:szCs w:val="20"/>
        </w:rPr>
      </w:pPr>
      <w:r w:rsidDel="00000000" w:rsidR="00000000" w:rsidRPr="00000000">
        <w:rPr>
          <w:sz w:val="20"/>
          <w:szCs w:val="20"/>
          <w:rtl w:val="0"/>
        </w:rPr>
        <w:t xml:space="preserve">No recomendado, exponiendo las razones.</w:t>
      </w:r>
    </w:p>
    <w:p w:rsidR="00000000" w:rsidDel="00000000" w:rsidP="00000000" w:rsidRDefault="00000000" w:rsidRPr="00000000" w14:paraId="0000003F">
      <w:pPr>
        <w:numPr>
          <w:ilvl w:val="0"/>
          <w:numId w:val="1"/>
        </w:numPr>
        <w:spacing w:before="120" w:lineRule="auto"/>
        <w:ind w:left="568" w:right="102" w:hanging="284"/>
        <w:jc w:val="both"/>
        <w:rPr>
          <w:sz w:val="20"/>
          <w:szCs w:val="20"/>
        </w:rPr>
      </w:pPr>
      <w:r w:rsidDel="00000000" w:rsidR="00000000" w:rsidRPr="00000000">
        <w:rPr>
          <w:b w:val="1"/>
          <w:i w:val="1"/>
          <w:color w:val="0000ff"/>
          <w:sz w:val="20"/>
          <w:szCs w:val="20"/>
          <w:u w:val="single"/>
          <w:rtl w:val="0"/>
        </w:rPr>
        <w:t xml:space="preserve">Proyecto susceptible de recibir apoyo,</w:t>
      </w:r>
      <w:r w:rsidDel="00000000" w:rsidR="00000000" w:rsidRPr="00000000">
        <w:rPr>
          <w:color w:val="0000ff"/>
          <w:sz w:val="20"/>
          <w:szCs w:val="20"/>
          <w:rtl w:val="0"/>
        </w:rPr>
        <w:t xml:space="preserve"> </w:t>
      </w:r>
      <w:r w:rsidDel="00000000" w:rsidR="00000000" w:rsidRPr="00000000">
        <w:rPr>
          <w:sz w:val="20"/>
          <w:szCs w:val="20"/>
          <w:rtl w:val="0"/>
        </w:rPr>
        <w:t xml:space="preserve">siempre y cuando se presente alguna cancelación, declinación o disponibilidad de recursos, exponiendo las razones. </w:t>
      </w:r>
    </w:p>
    <w:p w:rsidR="00000000" w:rsidDel="00000000" w:rsidP="00000000" w:rsidRDefault="00000000" w:rsidRPr="00000000" w14:paraId="00000040">
      <w:pPr>
        <w:spacing w:before="120" w:lineRule="auto"/>
        <w:ind w:left="962" w:right="102" w:firstLine="0"/>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41">
      <w:pPr>
        <w:jc w:val="both"/>
        <w:rPr>
          <w:b w:val="1"/>
          <w:sz w:val="20"/>
          <w:szCs w:val="20"/>
          <w:u w:val="single"/>
        </w:rPr>
      </w:pPr>
      <w:r w:rsidDel="00000000" w:rsidR="00000000" w:rsidRPr="00000000">
        <w:rPr>
          <w:sz w:val="20"/>
          <w:szCs w:val="20"/>
          <w:rtl w:val="0"/>
        </w:rPr>
        <w:t xml:space="preserve">Los proyectos que fueron aprobados en un proceso anterior dentro de la misma modalidad y que hayan cumplido con las entregas correspondientes en tiempo y forma, podrán registrarse para el proceso siguiente sin ser evaluados.</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spacing w:line="240" w:lineRule="auto"/>
      <w:jc w:val="right"/>
      <w:rPr>
        <w:sz w:val="16"/>
        <w:szCs w:val="16"/>
      </w:rPr>
    </w:pPr>
    <w:r w:rsidDel="00000000" w:rsidR="00000000" w:rsidRPr="00000000">
      <w:rPr>
        <w:sz w:val="16"/>
        <w:szCs w:val="16"/>
        <w:rtl w:val="0"/>
      </w:rPr>
      <w:t xml:space="preserve">FOMENTO AL CINE MEXICANO, FOCINE 2024</w:t>
    </w:r>
  </w:p>
  <w:p w:rsidR="00000000" w:rsidDel="00000000" w:rsidP="00000000" w:rsidRDefault="00000000" w:rsidRPr="00000000" w14:paraId="00000043">
    <w:pPr>
      <w:spacing w:line="240" w:lineRule="auto"/>
      <w:jc w:val="right"/>
      <w:rPr>
        <w:sz w:val="20"/>
        <w:szCs w:val="20"/>
      </w:rPr>
    </w:pPr>
    <w:r w:rsidDel="00000000" w:rsidR="00000000" w:rsidRPr="00000000">
      <w:rPr>
        <w:sz w:val="16"/>
        <w:szCs w:val="16"/>
        <w:rtl w:val="0"/>
      </w:rPr>
      <w:t xml:space="preserve">Apoyo a la conformación y preservación de acervos cinematográficos </w:t>
    </w:r>
    <w:r w:rsidDel="00000000" w:rsidR="00000000" w:rsidRPr="00000000">
      <w:rPr>
        <w:rtl w:val="0"/>
      </w:rPr>
    </w:r>
  </w:p>
  <w:p w:rsidR="00000000" w:rsidDel="00000000" w:rsidP="00000000" w:rsidRDefault="00000000" w:rsidRPr="00000000" w14:paraId="00000044">
    <w:pPr>
      <w:tabs>
        <w:tab w:val="center" w:leader="none" w:pos="4252"/>
        <w:tab w:val="right" w:leader="none" w:pos="8504"/>
      </w:tabs>
      <w:spacing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962" w:hanging="720"/>
      </w:pPr>
      <w:rPr/>
    </w:lvl>
    <w:lvl w:ilvl="1">
      <w:start w:val="1"/>
      <w:numFmt w:val="lowerLetter"/>
      <w:lvlText w:val="%2."/>
      <w:lvlJc w:val="left"/>
      <w:pPr>
        <w:ind w:left="1322" w:hanging="360.00000000000057"/>
      </w:pPr>
      <w:rPr/>
    </w:lvl>
    <w:lvl w:ilvl="2">
      <w:start w:val="1"/>
      <w:numFmt w:val="lowerRoman"/>
      <w:lvlText w:val="%3."/>
      <w:lvlJc w:val="right"/>
      <w:pPr>
        <w:ind w:left="2042" w:hanging="180"/>
      </w:pPr>
      <w:rPr/>
    </w:lvl>
    <w:lvl w:ilvl="3">
      <w:start w:val="1"/>
      <w:numFmt w:val="decimal"/>
      <w:lvlText w:val="%4."/>
      <w:lvlJc w:val="left"/>
      <w:pPr>
        <w:ind w:left="2762" w:hanging="360"/>
      </w:pPr>
      <w:rPr/>
    </w:lvl>
    <w:lvl w:ilvl="4">
      <w:start w:val="1"/>
      <w:numFmt w:val="lowerLetter"/>
      <w:lvlText w:val="%5."/>
      <w:lvlJc w:val="left"/>
      <w:pPr>
        <w:ind w:left="3482" w:hanging="360"/>
      </w:pPr>
      <w:rPr/>
    </w:lvl>
    <w:lvl w:ilvl="5">
      <w:start w:val="1"/>
      <w:numFmt w:val="lowerRoman"/>
      <w:lvlText w:val="%6."/>
      <w:lvlJc w:val="right"/>
      <w:pPr>
        <w:ind w:left="4202" w:hanging="180"/>
      </w:pPr>
      <w:rPr/>
    </w:lvl>
    <w:lvl w:ilvl="6">
      <w:start w:val="1"/>
      <w:numFmt w:val="decimal"/>
      <w:lvlText w:val="%7."/>
      <w:lvlJc w:val="left"/>
      <w:pPr>
        <w:ind w:left="4922" w:hanging="360"/>
      </w:pPr>
      <w:rPr/>
    </w:lvl>
    <w:lvl w:ilvl="7">
      <w:start w:val="1"/>
      <w:numFmt w:val="lowerLetter"/>
      <w:lvlText w:val="%8."/>
      <w:lvlJc w:val="left"/>
      <w:pPr>
        <w:ind w:left="5642" w:hanging="360"/>
      </w:pPr>
      <w:rPr/>
    </w:lvl>
    <w:lvl w:ilvl="8">
      <w:start w:val="1"/>
      <w:numFmt w:val="lowerRoman"/>
      <w:lvlText w:val="%9."/>
      <w:lvlJc w:val="right"/>
      <w:pPr>
        <w:ind w:left="6362" w:hanging="180"/>
      </w:pPr>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1585" w:hanging="360"/>
      </w:pPr>
      <w:rPr/>
    </w:lvl>
    <w:lvl w:ilvl="1">
      <w:start w:val="1"/>
      <w:numFmt w:val="lowerLetter"/>
      <w:lvlText w:val="%2."/>
      <w:lvlJc w:val="left"/>
      <w:pPr>
        <w:ind w:left="2305" w:hanging="360"/>
      </w:pPr>
      <w:rPr/>
    </w:lvl>
    <w:lvl w:ilvl="2">
      <w:start w:val="1"/>
      <w:numFmt w:val="lowerRoman"/>
      <w:lvlText w:val="%3."/>
      <w:lvlJc w:val="right"/>
      <w:pPr>
        <w:ind w:left="3025" w:hanging="180"/>
      </w:pPr>
      <w:rPr/>
    </w:lvl>
    <w:lvl w:ilvl="3">
      <w:start w:val="1"/>
      <w:numFmt w:val="decimal"/>
      <w:lvlText w:val="%4."/>
      <w:lvlJc w:val="left"/>
      <w:pPr>
        <w:ind w:left="3745" w:hanging="360"/>
      </w:pPr>
      <w:rPr/>
    </w:lvl>
    <w:lvl w:ilvl="4">
      <w:start w:val="1"/>
      <w:numFmt w:val="lowerLetter"/>
      <w:lvlText w:val="%5."/>
      <w:lvlJc w:val="left"/>
      <w:pPr>
        <w:ind w:left="4465" w:hanging="360"/>
      </w:pPr>
      <w:rPr/>
    </w:lvl>
    <w:lvl w:ilvl="5">
      <w:start w:val="1"/>
      <w:numFmt w:val="lowerRoman"/>
      <w:lvlText w:val="%6."/>
      <w:lvlJc w:val="right"/>
      <w:pPr>
        <w:ind w:left="5185" w:hanging="180"/>
      </w:pPr>
      <w:rPr/>
    </w:lvl>
    <w:lvl w:ilvl="6">
      <w:start w:val="1"/>
      <w:numFmt w:val="decimal"/>
      <w:lvlText w:val="%7."/>
      <w:lvlJc w:val="left"/>
      <w:pPr>
        <w:ind w:left="5905" w:hanging="360"/>
      </w:pPr>
      <w:rPr/>
    </w:lvl>
    <w:lvl w:ilvl="7">
      <w:start w:val="1"/>
      <w:numFmt w:val="lowerLetter"/>
      <w:lvlText w:val="%8."/>
      <w:lvlJc w:val="left"/>
      <w:pPr>
        <w:ind w:left="6625" w:hanging="360"/>
      </w:pPr>
      <w:rPr/>
    </w:lvl>
    <w:lvl w:ilvl="8">
      <w:start w:val="1"/>
      <w:numFmt w:val="lowerRoman"/>
      <w:lvlText w:val="%9."/>
      <w:lvlJc w:val="right"/>
      <w:pPr>
        <w:ind w:left="7345" w:hanging="180"/>
      </w:pPr>
      <w:rPr/>
    </w:lvl>
  </w:abstractNum>
  <w:abstractNum w:abstractNumId="4">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MX"/>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qFormat w:val="1"/>
    <w:rsid w:val="00FB6C13"/>
  </w:style>
  <w:style w:type="paragraph" w:styleId="Ttulo1">
    <w:name w:val="heading 1"/>
    <w:basedOn w:val="normal0"/>
    <w:next w:val="normal0"/>
    <w:rsid w:val="00E243FE"/>
    <w:pPr>
      <w:keepNext w:val="1"/>
      <w:keepLines w:val="1"/>
      <w:spacing w:after="120" w:before="400"/>
      <w:outlineLvl w:val="0"/>
    </w:pPr>
    <w:rPr>
      <w:sz w:val="40"/>
      <w:szCs w:val="40"/>
    </w:rPr>
  </w:style>
  <w:style w:type="paragraph" w:styleId="Ttulo2">
    <w:name w:val="heading 2"/>
    <w:basedOn w:val="normal0"/>
    <w:next w:val="normal0"/>
    <w:rsid w:val="00E243FE"/>
    <w:pPr>
      <w:keepNext w:val="1"/>
      <w:keepLines w:val="1"/>
      <w:spacing w:after="120" w:before="360"/>
      <w:outlineLvl w:val="1"/>
    </w:pPr>
    <w:rPr>
      <w:sz w:val="32"/>
      <w:szCs w:val="32"/>
    </w:rPr>
  </w:style>
  <w:style w:type="paragraph" w:styleId="Ttulo3">
    <w:name w:val="heading 3"/>
    <w:basedOn w:val="normal0"/>
    <w:next w:val="normal0"/>
    <w:rsid w:val="00E243FE"/>
    <w:pPr>
      <w:keepNext w:val="1"/>
      <w:keepLines w:val="1"/>
      <w:spacing w:after="80" w:before="320"/>
      <w:outlineLvl w:val="2"/>
    </w:pPr>
    <w:rPr>
      <w:color w:val="434343"/>
      <w:sz w:val="28"/>
      <w:szCs w:val="28"/>
    </w:rPr>
  </w:style>
  <w:style w:type="paragraph" w:styleId="Ttulo4">
    <w:name w:val="heading 4"/>
    <w:basedOn w:val="normal0"/>
    <w:next w:val="normal0"/>
    <w:rsid w:val="00E243FE"/>
    <w:pPr>
      <w:keepNext w:val="1"/>
      <w:keepLines w:val="1"/>
      <w:spacing w:after="80" w:before="280"/>
      <w:outlineLvl w:val="3"/>
    </w:pPr>
    <w:rPr>
      <w:color w:val="666666"/>
      <w:sz w:val="24"/>
      <w:szCs w:val="24"/>
    </w:rPr>
  </w:style>
  <w:style w:type="paragraph" w:styleId="Ttulo5">
    <w:name w:val="heading 5"/>
    <w:basedOn w:val="normal0"/>
    <w:next w:val="normal0"/>
    <w:rsid w:val="00E243FE"/>
    <w:pPr>
      <w:keepNext w:val="1"/>
      <w:keepLines w:val="1"/>
      <w:spacing w:after="80" w:before="240"/>
      <w:outlineLvl w:val="4"/>
    </w:pPr>
    <w:rPr>
      <w:color w:val="666666"/>
    </w:rPr>
  </w:style>
  <w:style w:type="paragraph" w:styleId="Ttulo6">
    <w:name w:val="heading 6"/>
    <w:basedOn w:val="normal0"/>
    <w:next w:val="normal0"/>
    <w:rsid w:val="00E243FE"/>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
    <w:rsid w:val="00FB6C13"/>
  </w:style>
  <w:style w:type="table" w:styleId="TableNormal" w:customStyle="1">
    <w:name w:val="Table Normal"/>
    <w:rsid w:val="00FB6C13"/>
    <w:tblPr>
      <w:tblCellMar>
        <w:top w:w="0.0" w:type="dxa"/>
        <w:left w:w="0.0" w:type="dxa"/>
        <w:bottom w:w="0.0" w:type="dxa"/>
        <w:right w:w="0.0" w:type="dxa"/>
      </w:tblCellMar>
    </w:tblPr>
  </w:style>
  <w:style w:type="paragraph" w:styleId="Ttulo">
    <w:name w:val="Title"/>
    <w:basedOn w:val="normal0"/>
    <w:next w:val="normal0"/>
    <w:rsid w:val="00E243FE"/>
    <w:pPr>
      <w:keepNext w:val="1"/>
      <w:keepLines w:val="1"/>
      <w:spacing w:after="60"/>
    </w:pPr>
    <w:rPr>
      <w:sz w:val="52"/>
      <w:szCs w:val="52"/>
    </w:rPr>
  </w:style>
  <w:style w:type="paragraph" w:styleId="normal0" w:customStyle="1">
    <w:name w:val="normal"/>
    <w:rsid w:val="00E243FE"/>
  </w:style>
  <w:style w:type="table" w:styleId="TableNormal0" w:customStyle="1">
    <w:name w:val="Table Normal"/>
    <w:rsid w:val="00E243FE"/>
    <w:tblPr>
      <w:tblCellMar>
        <w:top w:w="0.0" w:type="dxa"/>
        <w:left w:w="0.0" w:type="dxa"/>
        <w:bottom w:w="0.0" w:type="dxa"/>
        <w:right w:w="0.0" w:type="dxa"/>
      </w:tblCellMar>
    </w:tblPr>
  </w:style>
  <w:style w:type="paragraph" w:styleId="Subttulo">
    <w:name w:val="Subtitle"/>
    <w:basedOn w:val="Normal"/>
    <w:next w:val="Normal"/>
    <w:rsid w:val="00FB6C13"/>
    <w:pPr>
      <w:keepNext w:val="1"/>
      <w:keepLines w:val="1"/>
      <w:pBdr>
        <w:top w:space="0" w:sz="0" w:val="nil"/>
        <w:left w:space="0" w:sz="0" w:val="nil"/>
        <w:bottom w:space="0" w:sz="0" w:val="nil"/>
        <w:right w:space="0" w:sz="0" w:val="nil"/>
        <w:between w:space="0" w:sz="0" w:val="nil"/>
      </w:pBdr>
      <w:spacing w:after="320"/>
    </w:pPr>
    <w:rPr>
      <w:color w:val="666666"/>
      <w:sz w:val="30"/>
      <w:szCs w:val="30"/>
    </w:rPr>
  </w:style>
  <w:style w:type="character" w:styleId="Refdecomentario">
    <w:name w:val="annotation reference"/>
    <w:basedOn w:val="Fuentedeprrafopredeter"/>
    <w:uiPriority w:val="99"/>
    <w:semiHidden w:val="1"/>
    <w:unhideWhenUsed w:val="1"/>
    <w:rsid w:val="00E977B5"/>
    <w:rPr>
      <w:sz w:val="16"/>
      <w:szCs w:val="16"/>
    </w:rPr>
  </w:style>
  <w:style w:type="paragraph" w:styleId="Textocomentario">
    <w:name w:val="annotation text"/>
    <w:basedOn w:val="Normal"/>
    <w:link w:val="TextocomentarioCar"/>
    <w:uiPriority w:val="99"/>
    <w:semiHidden w:val="1"/>
    <w:unhideWhenUsed w:val="1"/>
    <w:rsid w:val="00E977B5"/>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E977B5"/>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E977B5"/>
    <w:rPr>
      <w:b w:val="1"/>
      <w:bCs w:val="1"/>
    </w:rPr>
  </w:style>
  <w:style w:type="character" w:styleId="AsuntodelcomentarioCar" w:customStyle="1">
    <w:name w:val="Asunto del comentario Car"/>
    <w:basedOn w:val="TextocomentarioCar"/>
    <w:link w:val="Asuntodelcomentario"/>
    <w:uiPriority w:val="99"/>
    <w:semiHidden w:val="1"/>
    <w:rsid w:val="00E977B5"/>
    <w:rPr>
      <w:b w:val="1"/>
      <w:bCs w:val="1"/>
    </w:rPr>
  </w:style>
  <w:style w:type="paragraph" w:styleId="Textodeglobo">
    <w:name w:val="Balloon Text"/>
    <w:basedOn w:val="Normal"/>
    <w:link w:val="TextodegloboCar"/>
    <w:uiPriority w:val="99"/>
    <w:semiHidden w:val="1"/>
    <w:unhideWhenUsed w:val="1"/>
    <w:rsid w:val="00E977B5"/>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E977B5"/>
    <w:rPr>
      <w:rFonts w:ascii="Tahoma" w:cs="Tahoma" w:hAnsi="Tahoma"/>
      <w:sz w:val="16"/>
      <w:szCs w:val="16"/>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fqfKAMonZcF/L/jsT5vGQ0gxKQ==">CgMxLjA4AHIhMS1NWExuZ05aTEI0cDI5ZWJWOGc2YmxMQkhQend3Qkpk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2021-11-05T00:07:00Z</dcterms:created>
  <dc:creator>JM ALVAREZ</dc:creator>
</cp:coreProperties>
</file>