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before="240" w:lineRule="auto"/>
        <w:jc w:val="both"/>
        <w:rPr/>
      </w:pPr>
      <w:r w:rsidDel="00000000" w:rsidR="00000000" w:rsidRPr="00000000">
        <w:rPr>
          <w:rtl w:val="0"/>
        </w:rPr>
        <w:t xml:space="preserve">La Secretaría de Cultura, a través del Instituto Mexicano de Cinematografía (IMCINE), invita a participar en la Convocatoria del Programa “Fomento al Cine Mexicano”, en el Apoyo a la producción de largometrajes en colaboración con los estados. </w:t>
      </w:r>
    </w:p>
    <w:p w:rsidR="00000000" w:rsidDel="00000000" w:rsidP="00000000" w:rsidRDefault="00000000" w:rsidRPr="00000000" w14:paraId="00000004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A partir del </w:t>
      </w:r>
      <w:r w:rsidDel="00000000" w:rsidR="00000000" w:rsidRPr="00000000">
        <w:rPr>
          <w:highlight w:val="yellow"/>
          <w:rtl w:val="0"/>
        </w:rPr>
        <w:t xml:space="preserve">XX de XXX del 202X, l</w:t>
      </w:r>
      <w:r w:rsidDel="00000000" w:rsidR="00000000" w:rsidRPr="00000000">
        <w:rPr>
          <w:rtl w:val="0"/>
        </w:rPr>
        <w:t xml:space="preserve">os lineamientos de operación y anexos podrán descargarse en la página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tl w:val="0"/>
        </w:rPr>
        <w:t xml:space="preserve">, la solicitud de los proyectos se hará a través del registro digital correspondiente, debiendo completar los datos relacionados con el proyecto, director(a/es/as), guionista(s), productor(a/es/as) y la persona física o moral responsable, quien podrá cargar en la plataforma los documentos establecidos en los Lineamientos de operación.</w:t>
      </w:r>
    </w:p>
    <w:p w:rsidR="00000000" w:rsidDel="00000000" w:rsidP="00000000" w:rsidRDefault="00000000" w:rsidRPr="00000000" w14:paraId="00000005">
      <w:pPr>
        <w:spacing w:before="120" w:line="24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El periodo de registro será del</w:t>
      </w:r>
      <w:r w:rsidDel="00000000" w:rsidR="00000000" w:rsidRPr="00000000">
        <w:rPr>
          <w:highlight w:val="yellow"/>
          <w:rtl w:val="0"/>
        </w:rPr>
        <w:t xml:space="preserve"> X de X de 202X al X de 202X hasta las 18:00 hrs. (hora centro). Los resultados se publicarán a más tardar el 2 de mayo de 202X.</w:t>
      </w:r>
    </w:p>
    <w:p w:rsidR="00000000" w:rsidDel="00000000" w:rsidP="00000000" w:rsidRDefault="00000000" w:rsidRPr="00000000" w14:paraId="00000006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En los Lineamientos de operación y Bases de participación se especifican los requisitos, criterios de evaluación y calendario con la fecha de publicación de los resultados.</w:t>
      </w:r>
    </w:p>
    <w:p w:rsidR="00000000" w:rsidDel="00000000" w:rsidP="00000000" w:rsidRDefault="00000000" w:rsidRPr="00000000" w14:paraId="00000007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Para dudas y aclaraciones estamos a su disposición de lunes a viernes de 10:00 a 17:00 hrs. (hora centro) en el correo electronico prod.estados@imcine.gob.mx, así como en el teléfono de la Dirección de Vinculación Regional y Comunitaria: 55.65.52.05.51 y, previa cita, en la Dirección: Atletas # 2, Edif. Luis Buñuel 4° piso, Col. Country Club, Coyoacán, C.P. 04210. Ciudad de México.</w:t>
      </w:r>
    </w:p>
    <w:p w:rsidR="00000000" w:rsidDel="00000000" w:rsidP="00000000" w:rsidRDefault="00000000" w:rsidRPr="00000000" w14:paraId="00000008">
      <w:pPr>
        <w:tabs>
          <w:tab w:val="left" w:leader="none" w:pos="3261"/>
        </w:tabs>
        <w:spacing w:line="240" w:lineRule="auto"/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tabs>
          <w:tab w:val="left" w:leader="none" w:pos="3261"/>
        </w:tabs>
        <w:spacing w:line="240" w:lineRule="auto"/>
        <w:jc w:val="right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Ciudad de México </w:t>
      </w:r>
      <w:r w:rsidDel="00000000" w:rsidR="00000000" w:rsidRPr="00000000">
        <w:rPr>
          <w:b w:val="1"/>
          <w:highlight w:val="yellow"/>
          <w:rtl w:val="0"/>
        </w:rPr>
        <w:t xml:space="preserve">a 2 de enero de 2023</w:t>
      </w:r>
    </w:p>
    <w:p w:rsidR="00000000" w:rsidDel="00000000" w:rsidP="00000000" w:rsidRDefault="00000000" w:rsidRPr="00000000" w14:paraId="0000000A">
      <w:pPr>
        <w:tabs>
          <w:tab w:val="left" w:leader="none" w:pos="3261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highlight w:val="white"/>
          <w:u w:val="singl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Mvem7i4piDa4AFrbSbFOzsFILw==">AMUW2mV6bQ2+Qhxd989vbN5iw7t8/1p7CLo05+corFcLA4l3NvjcXG/ImZPvXyplhX7B7hfzpn8VdLJCI2HzQ1ClDjnY2G1Z996H4dSD4mE3xaGsv2oM84M=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