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76B4" w:rsidRPr="00FA14FD" w:rsidRDefault="005F3376" w:rsidP="003C76B4">
      <w:pPr>
        <w:pStyle w:val="Ttulo1"/>
        <w:spacing w:before="120" w:after="120" w:line="240" w:lineRule="auto"/>
        <w:jc w:val="center"/>
        <w:rPr>
          <w:rFonts w:ascii="Arial" w:hAnsi="Arial" w:cs="Arial"/>
          <w:b/>
          <w:color w:val="auto"/>
          <w:sz w:val="36"/>
          <w:szCs w:val="36"/>
        </w:rPr>
      </w:pPr>
      <w:bookmarkStart w:id="0" w:name="_Toc475119303"/>
      <w:bookmarkStart w:id="1" w:name="_Toc475735614"/>
      <w:r w:rsidRPr="00FA14FD">
        <w:rPr>
          <w:rFonts w:ascii="Arial" w:hAnsi="Arial" w:cs="Arial"/>
          <w:b/>
          <w:color w:val="auto"/>
          <w:sz w:val="36"/>
          <w:szCs w:val="36"/>
        </w:rPr>
        <w:t>ANEXO V</w:t>
      </w:r>
      <w:r>
        <w:rPr>
          <w:rFonts w:ascii="Arial" w:hAnsi="Arial" w:cs="Arial"/>
          <w:b/>
          <w:color w:val="auto"/>
          <w:sz w:val="36"/>
          <w:szCs w:val="36"/>
        </w:rPr>
        <w:t>.</w:t>
      </w:r>
      <w:r w:rsidRPr="00FA14FD">
        <w:rPr>
          <w:rFonts w:ascii="Arial" w:hAnsi="Arial" w:cs="Arial"/>
          <w:b/>
          <w:color w:val="auto"/>
          <w:sz w:val="36"/>
          <w:szCs w:val="36"/>
        </w:rPr>
        <w:t xml:space="preserve"> </w:t>
      </w:r>
      <w:bookmarkEnd w:id="0"/>
      <w:bookmarkEnd w:id="1"/>
      <w:r w:rsidRPr="005F3376">
        <w:rPr>
          <w:rFonts w:ascii="Arial" w:hAnsi="Arial" w:cs="Arial"/>
          <w:b/>
          <w:color w:val="auto"/>
          <w:sz w:val="36"/>
          <w:szCs w:val="36"/>
        </w:rPr>
        <w:t>METODOLOGÍA PARA EL CÁLCULO DE LAS GARANTÍAS FINANCIERAS Y GARANTÍAS FINANCIERAS DEL CENACE</w:t>
      </w:r>
    </w:p>
    <w:p w:rsidR="003C76B4" w:rsidRPr="00FA14FD" w:rsidRDefault="003C76B4" w:rsidP="003C76B4">
      <w:pPr>
        <w:rPr>
          <w:rFonts w:ascii="Arial" w:hAnsi="Arial" w:cs="Arial"/>
          <w:sz w:val="18"/>
          <w:szCs w:val="18"/>
        </w:rPr>
      </w:pPr>
    </w:p>
    <w:p w:rsidR="003C76B4" w:rsidRDefault="003C76B4" w:rsidP="00FA14FD">
      <w:pPr>
        <w:pStyle w:val="Prrafodelista"/>
        <w:numPr>
          <w:ilvl w:val="0"/>
          <w:numId w:val="8"/>
        </w:numPr>
        <w:spacing w:before="120" w:after="120" w:line="240" w:lineRule="auto"/>
        <w:jc w:val="both"/>
        <w:rPr>
          <w:rFonts w:ascii="Arial" w:hAnsi="Arial" w:cs="Arial"/>
          <w:b/>
          <w:sz w:val="18"/>
          <w:szCs w:val="18"/>
        </w:rPr>
      </w:pPr>
      <w:r w:rsidRPr="00FA14FD">
        <w:rPr>
          <w:rFonts w:ascii="Arial" w:hAnsi="Arial" w:cs="Arial"/>
          <w:b/>
          <w:sz w:val="18"/>
          <w:szCs w:val="18"/>
        </w:rPr>
        <w:t>Para la determi</w:t>
      </w:r>
      <w:bookmarkStart w:id="2" w:name="_GoBack"/>
      <w:bookmarkEnd w:id="2"/>
      <w:r w:rsidRPr="00FA14FD">
        <w:rPr>
          <w:rFonts w:ascii="Arial" w:hAnsi="Arial" w:cs="Arial"/>
          <w:b/>
          <w:sz w:val="18"/>
          <w:szCs w:val="18"/>
        </w:rPr>
        <w:t>nación de las Garantías Financieras se aplicarán los criterios siguientes:</w:t>
      </w:r>
    </w:p>
    <w:p w:rsidR="00FA14FD" w:rsidRPr="00FA14FD" w:rsidRDefault="00FA14FD" w:rsidP="00FA14FD">
      <w:pPr>
        <w:pStyle w:val="Prrafodelista"/>
        <w:spacing w:before="120" w:after="120" w:line="240" w:lineRule="auto"/>
        <w:jc w:val="both"/>
        <w:rPr>
          <w:rFonts w:ascii="Arial" w:hAnsi="Arial" w:cs="Arial"/>
          <w:b/>
          <w:sz w:val="18"/>
          <w:szCs w:val="18"/>
        </w:rPr>
      </w:pPr>
    </w:p>
    <w:p w:rsidR="003C76B4" w:rsidRPr="00FA14FD" w:rsidRDefault="003C76B4" w:rsidP="003C76B4">
      <w:pPr>
        <w:pStyle w:val="Prrafodelista"/>
        <w:numPr>
          <w:ilvl w:val="0"/>
          <w:numId w:val="1"/>
        </w:numPr>
        <w:spacing w:before="120" w:after="120" w:line="240" w:lineRule="auto"/>
        <w:ind w:left="714" w:hanging="357"/>
        <w:contextualSpacing w:val="0"/>
        <w:jc w:val="both"/>
        <w:rPr>
          <w:rFonts w:ascii="Arial" w:hAnsi="Arial" w:cs="Arial"/>
          <w:sz w:val="18"/>
          <w:szCs w:val="18"/>
        </w:rPr>
      </w:pPr>
      <w:r w:rsidRPr="00FA14FD">
        <w:rPr>
          <w:rFonts w:ascii="Arial" w:hAnsi="Arial" w:cs="Arial"/>
          <w:sz w:val="18"/>
          <w:szCs w:val="18"/>
        </w:rPr>
        <w:t>Se calcula la capacidad total de adición de Centrales Eléctricas en el SEN para los próximos 5 años, obtenida del PRODESEN o del Documento de Prospectiva del Sector Eléctrico;</w:t>
      </w:r>
    </w:p>
    <w:p w:rsidR="003C76B4" w:rsidRPr="00FA14FD" w:rsidRDefault="003C76B4" w:rsidP="003C76B4">
      <w:pPr>
        <w:pStyle w:val="Prrafodelista"/>
        <w:numPr>
          <w:ilvl w:val="0"/>
          <w:numId w:val="1"/>
        </w:numPr>
        <w:spacing w:before="120" w:after="120" w:line="240" w:lineRule="auto"/>
        <w:contextualSpacing w:val="0"/>
        <w:jc w:val="both"/>
        <w:rPr>
          <w:rFonts w:ascii="Arial" w:hAnsi="Arial" w:cs="Arial"/>
          <w:sz w:val="18"/>
          <w:szCs w:val="18"/>
        </w:rPr>
      </w:pPr>
      <w:r w:rsidRPr="00FA14FD">
        <w:rPr>
          <w:rFonts w:ascii="Arial" w:hAnsi="Arial" w:cs="Arial"/>
          <w:sz w:val="18"/>
          <w:szCs w:val="18"/>
        </w:rPr>
        <w:t xml:space="preserve">Se determinan las necesidades de inversión asociadas a la expansión y modernización de la RNT para los próximos 5 años obtenida del PRODESEN o del Documento de Prospectiva del Sector Eléctrico. </w:t>
      </w:r>
    </w:p>
    <w:p w:rsidR="003C76B4" w:rsidRPr="00FA14FD" w:rsidRDefault="003C76B4" w:rsidP="003C76B4">
      <w:pPr>
        <w:pStyle w:val="Prrafodelista"/>
        <w:numPr>
          <w:ilvl w:val="0"/>
          <w:numId w:val="1"/>
        </w:numPr>
        <w:spacing w:before="120" w:after="120" w:line="240" w:lineRule="auto"/>
        <w:contextualSpacing w:val="0"/>
        <w:jc w:val="both"/>
        <w:rPr>
          <w:rFonts w:ascii="Arial" w:hAnsi="Arial" w:cs="Arial"/>
          <w:sz w:val="18"/>
          <w:szCs w:val="18"/>
        </w:rPr>
      </w:pPr>
      <w:r w:rsidRPr="00FA14FD">
        <w:rPr>
          <w:rFonts w:ascii="Arial" w:hAnsi="Arial" w:cs="Arial"/>
          <w:sz w:val="18"/>
          <w:szCs w:val="18"/>
        </w:rPr>
        <w:t>Ya que la expansión y modernización de la RNT o de las RGD no depende exclusivamente de la Interconexión de nuevas Centrales Eléctricas o a la Conexión de nuevos Centros de Carga, se considera que el 50% de dichas obras de Refuerzo serán asociadas a éstas.</w:t>
      </w:r>
    </w:p>
    <w:p w:rsidR="003C76B4" w:rsidRPr="0096683D" w:rsidRDefault="005F3376" w:rsidP="003C76B4">
      <w:pPr>
        <w:spacing w:before="120" w:after="120" w:line="240" w:lineRule="auto"/>
        <w:jc w:val="both"/>
        <w:rPr>
          <w:rFonts w:ascii="Arial" w:hAnsi="Arial" w:cs="Arial"/>
          <w:b/>
        </w:rPr>
      </w:pPr>
      <m:oMathPara>
        <m:oMath>
          <m:sSub>
            <m:sSubPr>
              <m:ctrlPr>
                <w:rPr>
                  <w:rFonts w:ascii="Cambria Math" w:hAnsi="Cambria Math" w:cs="Arial"/>
                  <w:b/>
                  <w:i/>
                </w:rPr>
              </m:ctrlPr>
            </m:sSubPr>
            <m:e>
              <m:r>
                <m:rPr>
                  <m:sty m:val="bi"/>
                </m:rPr>
                <w:rPr>
                  <w:rFonts w:ascii="Cambria Math" w:hAnsi="Cambria Math" w:cs="Arial"/>
                </w:rPr>
                <m:t>PartRnt</m:t>
              </m:r>
            </m:e>
            <m:sub>
              <m:r>
                <m:rPr>
                  <m:sty m:val="bi"/>
                </m:rPr>
                <w:rPr>
                  <w:rFonts w:ascii="Cambria Math" w:hAnsi="Cambria Math" w:cs="Arial"/>
                </w:rPr>
                <m:t>i</m:t>
              </m:r>
            </m:sub>
          </m:sSub>
          <m:r>
            <m:rPr>
              <m:sty m:val="bi"/>
            </m:rPr>
            <w:rPr>
              <w:rFonts w:ascii="Cambria Math" w:hAnsi="Cambria Math" w:cs="Arial"/>
            </w:rPr>
            <m:t xml:space="preserve">= </m:t>
          </m:r>
          <m:sSub>
            <m:sSubPr>
              <m:ctrlPr>
                <w:rPr>
                  <w:rFonts w:ascii="Cambria Math" w:hAnsi="Cambria Math" w:cs="Arial"/>
                  <w:b/>
                  <w:i/>
                </w:rPr>
              </m:ctrlPr>
            </m:sSubPr>
            <m:e>
              <m:r>
                <m:rPr>
                  <m:sty m:val="bi"/>
                </m:rPr>
                <w:rPr>
                  <w:rFonts w:ascii="Cambria Math" w:hAnsi="Cambria Math" w:cs="Arial"/>
                </w:rPr>
                <m:t>InvRNT</m:t>
              </m:r>
            </m:e>
            <m:sub>
              <m:r>
                <m:rPr>
                  <m:sty m:val="bi"/>
                </m:rPr>
                <w:rPr>
                  <w:rFonts w:ascii="Cambria Math" w:hAnsi="Cambria Math" w:cs="Arial"/>
                </w:rPr>
                <m:t>i</m:t>
              </m:r>
            </m:sub>
          </m:sSub>
          <m:r>
            <m:rPr>
              <m:sty m:val="bi"/>
            </m:rPr>
            <w:rPr>
              <w:rFonts w:ascii="Cambria Math" w:hAnsi="Cambria Math" w:cs="Arial"/>
            </w:rPr>
            <m:t>*0.5</m:t>
          </m:r>
        </m:oMath>
      </m:oMathPara>
    </w:p>
    <w:p w:rsidR="003C76B4" w:rsidRPr="00FA14FD" w:rsidRDefault="003C76B4" w:rsidP="003C76B4">
      <w:pPr>
        <w:spacing w:before="120" w:after="120" w:line="240" w:lineRule="auto"/>
        <w:ind w:left="709"/>
        <w:jc w:val="both"/>
        <w:rPr>
          <w:rFonts w:ascii="Arial" w:hAnsi="Arial" w:cs="Arial"/>
          <w:sz w:val="18"/>
          <w:szCs w:val="18"/>
        </w:rPr>
      </w:pPr>
      <w:r w:rsidRPr="00FA14FD">
        <w:rPr>
          <w:rFonts w:ascii="Arial" w:hAnsi="Arial" w:cs="Arial"/>
          <w:sz w:val="18"/>
          <w:szCs w:val="18"/>
        </w:rPr>
        <w:t>Donde:</w:t>
      </w:r>
    </w:p>
    <w:p w:rsidR="003C76B4" w:rsidRPr="0096683D" w:rsidRDefault="005F3376" w:rsidP="0096683D">
      <w:pPr>
        <w:pStyle w:val="Prrafodelista"/>
        <w:numPr>
          <w:ilvl w:val="0"/>
          <w:numId w:val="9"/>
        </w:numPr>
        <w:spacing w:before="120" w:after="120" w:line="240" w:lineRule="auto"/>
        <w:jc w:val="both"/>
        <w:rPr>
          <w:rFonts w:ascii="Arial" w:hAnsi="Arial" w:cs="Arial"/>
          <w:sz w:val="18"/>
          <w:szCs w:val="18"/>
        </w:rPr>
      </w:pPr>
      <m:oMath>
        <m:sSub>
          <m:sSubPr>
            <m:ctrlPr>
              <w:rPr>
                <w:rFonts w:ascii="Cambria Math" w:hAnsi="Cambria Math" w:cs="Arial"/>
                <w:b/>
                <w:i/>
              </w:rPr>
            </m:ctrlPr>
          </m:sSubPr>
          <m:e>
            <m:r>
              <m:rPr>
                <m:sty m:val="bi"/>
              </m:rPr>
              <w:rPr>
                <w:rFonts w:ascii="Cambria Math" w:hAnsi="Cambria Math" w:cs="Arial"/>
              </w:rPr>
              <m:t>InvRNT</m:t>
            </m:r>
          </m:e>
          <m:sub>
            <m:r>
              <m:rPr>
                <m:sty m:val="bi"/>
              </m:rPr>
              <w:rPr>
                <w:rFonts w:ascii="Cambria Math" w:hAnsi="Cambria Math" w:cs="Arial"/>
              </w:rPr>
              <m:t>i</m:t>
            </m:r>
          </m:sub>
        </m:sSub>
        <m:r>
          <m:rPr>
            <m:sty m:val="bi"/>
          </m:rPr>
          <w:rPr>
            <w:rFonts w:ascii="Cambria Math" w:hAnsi="Cambria Math" w:cs="Arial"/>
          </w:rPr>
          <m:t xml:space="preserve"> </m:t>
        </m:r>
      </m:oMath>
      <w:r w:rsidR="003C76B4" w:rsidRPr="0096683D">
        <w:rPr>
          <w:rFonts w:ascii="Arial" w:hAnsi="Arial" w:cs="Arial"/>
        </w:rPr>
        <w:t xml:space="preserve">: </w:t>
      </w:r>
      <w:r w:rsidR="003C76B4" w:rsidRPr="0096683D">
        <w:rPr>
          <w:rFonts w:ascii="Arial" w:hAnsi="Arial" w:cs="Arial"/>
          <w:sz w:val="18"/>
          <w:szCs w:val="18"/>
        </w:rPr>
        <w:t xml:space="preserve">Monto total de las inversiones necesarias de refuerzo en la RNT para el año </w:t>
      </w:r>
      <m:oMath>
        <m:r>
          <w:rPr>
            <w:rFonts w:ascii="Cambria Math" w:hAnsi="Cambria Math" w:cs="Arial"/>
            <w:sz w:val="18"/>
            <w:szCs w:val="18"/>
          </w:rPr>
          <m:t>i</m:t>
        </m:r>
      </m:oMath>
      <w:r w:rsidR="003C76B4" w:rsidRPr="0096683D">
        <w:rPr>
          <w:rFonts w:ascii="Arial" w:hAnsi="Arial" w:cs="Arial"/>
          <w:sz w:val="18"/>
          <w:szCs w:val="18"/>
        </w:rPr>
        <w:t>.</w:t>
      </w:r>
    </w:p>
    <w:p w:rsidR="003C76B4" w:rsidRPr="0096683D" w:rsidRDefault="005F3376" w:rsidP="0096683D">
      <w:pPr>
        <w:pStyle w:val="Prrafodelista"/>
        <w:numPr>
          <w:ilvl w:val="0"/>
          <w:numId w:val="9"/>
        </w:numPr>
        <w:spacing w:before="120" w:after="120" w:line="240" w:lineRule="auto"/>
        <w:jc w:val="both"/>
        <w:rPr>
          <w:rFonts w:ascii="Arial" w:hAnsi="Arial" w:cs="Arial"/>
          <w:sz w:val="18"/>
          <w:szCs w:val="18"/>
        </w:rPr>
      </w:pPr>
      <m:oMath>
        <m:sSub>
          <m:sSubPr>
            <m:ctrlPr>
              <w:rPr>
                <w:rFonts w:ascii="Cambria Math" w:hAnsi="Cambria Math" w:cs="Arial"/>
                <w:b/>
                <w:i/>
              </w:rPr>
            </m:ctrlPr>
          </m:sSubPr>
          <m:e>
            <m:r>
              <m:rPr>
                <m:sty m:val="bi"/>
              </m:rPr>
              <w:rPr>
                <w:rFonts w:ascii="Cambria Math" w:hAnsi="Cambria Math" w:cs="Arial"/>
              </w:rPr>
              <m:t>PartRnt</m:t>
            </m:r>
          </m:e>
          <m:sub>
            <m:r>
              <m:rPr>
                <m:sty m:val="bi"/>
              </m:rPr>
              <w:rPr>
                <w:rFonts w:ascii="Cambria Math" w:hAnsi="Cambria Math" w:cs="Arial"/>
              </w:rPr>
              <m:t>i</m:t>
            </m:r>
          </m:sub>
        </m:sSub>
      </m:oMath>
      <w:r w:rsidR="003C76B4" w:rsidRPr="0096683D">
        <w:rPr>
          <w:rFonts w:ascii="Arial" w:hAnsi="Arial" w:cs="Arial"/>
        </w:rPr>
        <w:t xml:space="preserve">: </w:t>
      </w:r>
      <w:r w:rsidR="003C76B4" w:rsidRPr="0096683D">
        <w:rPr>
          <w:rFonts w:ascii="Arial" w:hAnsi="Arial" w:cs="Arial"/>
          <w:sz w:val="18"/>
          <w:szCs w:val="18"/>
        </w:rPr>
        <w:t xml:space="preserve">Monto de la aportación de las Centrales Eléctricas o Centros de Carga en los refuerzos de la RNT para el año </w:t>
      </w:r>
      <m:oMath>
        <m:r>
          <w:rPr>
            <w:rFonts w:ascii="Cambria Math" w:hAnsi="Cambria Math" w:cs="Arial"/>
            <w:sz w:val="18"/>
            <w:szCs w:val="18"/>
          </w:rPr>
          <m:t>i</m:t>
        </m:r>
      </m:oMath>
      <w:r w:rsidR="003C76B4" w:rsidRPr="0096683D">
        <w:rPr>
          <w:rFonts w:ascii="Arial" w:hAnsi="Arial" w:cs="Arial"/>
          <w:sz w:val="18"/>
          <w:szCs w:val="18"/>
        </w:rPr>
        <w:t>.</w:t>
      </w:r>
    </w:p>
    <w:p w:rsidR="003C76B4" w:rsidRPr="00FA14FD" w:rsidRDefault="003C76B4" w:rsidP="003C76B4">
      <w:pPr>
        <w:pStyle w:val="Prrafodelista"/>
        <w:numPr>
          <w:ilvl w:val="0"/>
          <w:numId w:val="1"/>
        </w:numPr>
        <w:spacing w:before="120" w:after="120" w:line="240" w:lineRule="auto"/>
        <w:contextualSpacing w:val="0"/>
        <w:jc w:val="both"/>
        <w:rPr>
          <w:rFonts w:ascii="Arial" w:hAnsi="Arial" w:cs="Arial"/>
          <w:sz w:val="18"/>
          <w:szCs w:val="18"/>
        </w:rPr>
      </w:pPr>
      <w:r w:rsidRPr="00FA14FD">
        <w:rPr>
          <w:rFonts w:ascii="Arial" w:hAnsi="Arial" w:cs="Arial"/>
          <w:sz w:val="18"/>
          <w:szCs w:val="18"/>
        </w:rPr>
        <w:t>Para cada año, se calcula el monto de participación de los nuevos proyectos de Centrales Eléctricas o Centros de Carga con respecto a la inversión en infraestructura de la RNT.</w:t>
      </w:r>
    </w:p>
    <w:p w:rsidR="003C76B4" w:rsidRPr="0096683D" w:rsidRDefault="005F3376" w:rsidP="003C76B4">
      <w:pPr>
        <w:pStyle w:val="Prrafodelista"/>
        <w:spacing w:before="120" w:after="120" w:line="240" w:lineRule="auto"/>
        <w:contextualSpacing w:val="0"/>
        <w:jc w:val="both"/>
        <w:rPr>
          <w:rFonts w:ascii="Arial" w:hAnsi="Arial" w:cs="Arial"/>
          <w:b/>
        </w:rPr>
      </w:pPr>
      <m:oMathPara>
        <m:oMath>
          <m:f>
            <m:fPr>
              <m:ctrlPr>
                <w:rPr>
                  <w:rFonts w:ascii="Cambria Math" w:hAnsi="Cambria Math" w:cs="Arial"/>
                  <w:b/>
                  <w:i/>
                </w:rPr>
              </m:ctrlPr>
            </m:fPr>
            <m:num>
              <m:sSub>
                <m:sSubPr>
                  <m:ctrlPr>
                    <w:rPr>
                      <w:rFonts w:ascii="Cambria Math" w:hAnsi="Cambria Math" w:cs="Arial"/>
                      <w:b/>
                      <w:i/>
                    </w:rPr>
                  </m:ctrlPr>
                </m:sSubPr>
                <m:e>
                  <m:r>
                    <m:rPr>
                      <m:sty m:val="bi"/>
                    </m:rPr>
                    <w:rPr>
                      <w:rFonts w:ascii="Cambria Math" w:hAnsi="Cambria Math" w:cs="Arial"/>
                    </w:rPr>
                    <m:t>PartRnt</m:t>
                  </m:r>
                </m:e>
                <m:sub>
                  <m:r>
                    <m:rPr>
                      <m:sty m:val="bi"/>
                    </m:rPr>
                    <w:rPr>
                      <w:rFonts w:ascii="Cambria Math" w:hAnsi="Cambria Math" w:cs="Arial"/>
                    </w:rPr>
                    <m:t>i</m:t>
                  </m:r>
                </m:sub>
              </m:sSub>
            </m:num>
            <m:den>
              <m:sSub>
                <m:sSubPr>
                  <m:ctrlPr>
                    <w:rPr>
                      <w:rFonts w:ascii="Cambria Math" w:hAnsi="Cambria Math" w:cs="Arial"/>
                      <w:b/>
                      <w:i/>
                    </w:rPr>
                  </m:ctrlPr>
                </m:sSubPr>
                <m:e>
                  <m:r>
                    <m:rPr>
                      <m:sty m:val="bi"/>
                    </m:rPr>
                    <w:rPr>
                      <w:rFonts w:ascii="Cambria Math" w:hAnsi="Cambria Math" w:cs="Arial"/>
                    </w:rPr>
                    <m:t>CapCE</m:t>
                  </m:r>
                </m:e>
                <m:sub>
                  <m:r>
                    <m:rPr>
                      <m:sty m:val="bi"/>
                    </m:rPr>
                    <w:rPr>
                      <w:rFonts w:ascii="Cambria Math" w:hAnsi="Cambria Math" w:cs="Arial"/>
                    </w:rPr>
                    <m:t>i</m:t>
                  </m:r>
                </m:sub>
              </m:sSub>
            </m:den>
          </m:f>
          <m:d>
            <m:dPr>
              <m:ctrlPr>
                <w:rPr>
                  <w:rFonts w:ascii="Cambria Math" w:hAnsi="Cambria Math" w:cs="Arial"/>
                  <w:b/>
                  <w:i/>
                </w:rPr>
              </m:ctrlPr>
            </m:dPr>
            <m:e>
              <m:f>
                <m:fPr>
                  <m:type m:val="lin"/>
                  <m:ctrlPr>
                    <w:rPr>
                      <w:rFonts w:ascii="Cambria Math" w:hAnsi="Cambria Math" w:cs="Arial"/>
                      <w:b/>
                      <w:i/>
                    </w:rPr>
                  </m:ctrlPr>
                </m:fPr>
                <m:num>
                  <m:r>
                    <m:rPr>
                      <m:sty m:val="bi"/>
                    </m:rPr>
                    <w:rPr>
                      <w:rFonts w:ascii="Cambria Math" w:hAnsi="Cambria Math" w:cs="Arial"/>
                    </w:rPr>
                    <m:t>Pesos</m:t>
                  </m:r>
                </m:num>
                <m:den>
                  <m:r>
                    <m:rPr>
                      <m:sty m:val="bi"/>
                    </m:rPr>
                    <w:rPr>
                      <w:rFonts w:ascii="Cambria Math" w:hAnsi="Cambria Math" w:cs="Arial"/>
                    </w:rPr>
                    <m:t>MW</m:t>
                  </m:r>
                </m:den>
              </m:f>
            </m:e>
          </m:d>
        </m:oMath>
      </m:oMathPara>
    </w:p>
    <w:p w:rsidR="003C76B4" w:rsidRPr="00FA14FD" w:rsidRDefault="003C76B4" w:rsidP="003C76B4">
      <w:pPr>
        <w:spacing w:before="120" w:after="120" w:line="240" w:lineRule="auto"/>
        <w:ind w:left="709"/>
        <w:jc w:val="both"/>
        <w:rPr>
          <w:rFonts w:ascii="Arial" w:hAnsi="Arial" w:cs="Arial"/>
          <w:sz w:val="18"/>
          <w:szCs w:val="18"/>
        </w:rPr>
      </w:pPr>
      <w:r w:rsidRPr="00FA14FD">
        <w:rPr>
          <w:rFonts w:ascii="Arial" w:hAnsi="Arial" w:cs="Arial"/>
          <w:sz w:val="18"/>
          <w:szCs w:val="18"/>
        </w:rPr>
        <w:t>Donde:</w:t>
      </w:r>
    </w:p>
    <w:p w:rsidR="003C76B4" w:rsidRPr="0096683D" w:rsidRDefault="003C76B4" w:rsidP="0096683D">
      <w:pPr>
        <w:pStyle w:val="Prrafodelista"/>
        <w:numPr>
          <w:ilvl w:val="0"/>
          <w:numId w:val="10"/>
        </w:numPr>
        <w:spacing w:before="120" w:after="120" w:line="240" w:lineRule="auto"/>
        <w:jc w:val="both"/>
        <w:rPr>
          <w:rFonts w:ascii="Arial" w:hAnsi="Arial" w:cs="Arial"/>
          <w:sz w:val="18"/>
          <w:szCs w:val="18"/>
        </w:rPr>
      </w:pPr>
      <m:oMath>
        <m:r>
          <m:rPr>
            <m:sty m:val="bi"/>
          </m:rPr>
          <w:rPr>
            <w:rFonts w:ascii="Cambria Math" w:hAnsi="Cambria Math" w:cs="Arial"/>
          </w:rPr>
          <m:t>PartCE</m:t>
        </m:r>
      </m:oMath>
      <w:r w:rsidRPr="0096683D">
        <w:rPr>
          <w:rFonts w:ascii="Arial" w:hAnsi="Arial" w:cs="Arial"/>
        </w:rPr>
        <w:t xml:space="preserve"> </w:t>
      </w:r>
      <w:r w:rsidRPr="0096683D">
        <w:rPr>
          <w:rFonts w:ascii="Arial" w:hAnsi="Arial" w:cs="Arial"/>
          <w:sz w:val="18"/>
          <w:szCs w:val="18"/>
        </w:rPr>
        <w:t>: Monto de la participación de las nuevas Centrales Eléctricas o Centros de Carga en los refuerzos de la RNT con respecto a la capacidad de generación adicional para el año.</w:t>
      </w:r>
    </w:p>
    <w:p w:rsidR="003C76B4" w:rsidRPr="0096683D" w:rsidRDefault="005F3376" w:rsidP="0096683D">
      <w:pPr>
        <w:pStyle w:val="Prrafodelista"/>
        <w:numPr>
          <w:ilvl w:val="0"/>
          <w:numId w:val="10"/>
        </w:numPr>
        <w:spacing w:before="120" w:after="120" w:line="240" w:lineRule="auto"/>
        <w:jc w:val="both"/>
        <w:rPr>
          <w:rFonts w:ascii="Arial" w:hAnsi="Arial" w:cs="Arial"/>
        </w:rPr>
      </w:pPr>
      <m:oMath>
        <m:sSub>
          <m:sSubPr>
            <m:ctrlPr>
              <w:rPr>
                <w:rFonts w:ascii="Cambria Math" w:hAnsi="Cambria Math" w:cs="Arial"/>
                <w:b/>
                <w:i/>
              </w:rPr>
            </m:ctrlPr>
          </m:sSubPr>
          <m:e>
            <m:r>
              <m:rPr>
                <m:sty m:val="bi"/>
              </m:rPr>
              <w:rPr>
                <w:rFonts w:ascii="Cambria Math" w:hAnsi="Cambria Math" w:cs="Arial"/>
              </w:rPr>
              <m:t>CapCE</m:t>
            </m:r>
          </m:e>
          <m:sub>
            <m:r>
              <m:rPr>
                <m:sty m:val="bi"/>
              </m:rPr>
              <w:rPr>
                <w:rFonts w:ascii="Cambria Math" w:hAnsi="Cambria Math" w:cs="Arial"/>
              </w:rPr>
              <m:t>i</m:t>
            </m:r>
          </m:sub>
        </m:sSub>
      </m:oMath>
      <w:r w:rsidR="003C76B4" w:rsidRPr="0096683D">
        <w:rPr>
          <w:rFonts w:ascii="Arial" w:hAnsi="Arial" w:cs="Arial"/>
        </w:rPr>
        <w:t xml:space="preserve">: </w:t>
      </w:r>
      <w:r w:rsidR="003C76B4" w:rsidRPr="0096683D">
        <w:rPr>
          <w:rFonts w:ascii="Arial" w:hAnsi="Arial" w:cs="Arial"/>
          <w:sz w:val="18"/>
          <w:szCs w:val="18"/>
        </w:rPr>
        <w:t xml:space="preserve">Adiciones de capacidad de Centrales Eléctricas para el año </w:t>
      </w:r>
      <m:oMath>
        <m:r>
          <w:rPr>
            <w:rFonts w:ascii="Cambria Math" w:hAnsi="Cambria Math" w:cs="Arial"/>
            <w:sz w:val="18"/>
            <w:szCs w:val="18"/>
          </w:rPr>
          <m:t>i</m:t>
        </m:r>
      </m:oMath>
      <w:r w:rsidR="003C76B4" w:rsidRPr="0096683D">
        <w:rPr>
          <w:rFonts w:ascii="Arial" w:hAnsi="Arial" w:cs="Arial"/>
          <w:sz w:val="18"/>
          <w:szCs w:val="18"/>
        </w:rPr>
        <w:t>.</w:t>
      </w:r>
    </w:p>
    <w:p w:rsidR="003C76B4" w:rsidRPr="00FA14FD" w:rsidRDefault="003C76B4" w:rsidP="003C76B4">
      <w:pPr>
        <w:pStyle w:val="Prrafodelista"/>
        <w:numPr>
          <w:ilvl w:val="0"/>
          <w:numId w:val="1"/>
        </w:numPr>
        <w:spacing w:before="120" w:after="120" w:line="240" w:lineRule="auto"/>
        <w:contextualSpacing w:val="0"/>
        <w:jc w:val="both"/>
        <w:rPr>
          <w:rFonts w:ascii="Arial" w:hAnsi="Arial" w:cs="Arial"/>
          <w:sz w:val="18"/>
          <w:szCs w:val="18"/>
        </w:rPr>
      </w:pPr>
      <w:r w:rsidRPr="00FA14FD">
        <w:rPr>
          <w:rFonts w:ascii="Arial" w:hAnsi="Arial" w:cs="Arial"/>
          <w:sz w:val="18"/>
          <w:szCs w:val="18"/>
        </w:rPr>
        <w:t>Finalmente, se calcula el promedio de las participaciones anuales, para obtener el valor base (en Pesos/MW) para el cálculo de la aportación de las Garantías Financieras.</w:t>
      </w:r>
    </w:p>
    <w:p w:rsidR="003C76B4" w:rsidRPr="0096683D" w:rsidRDefault="0096683D" w:rsidP="003C76B4">
      <w:pPr>
        <w:spacing w:before="120" w:after="120" w:line="240" w:lineRule="auto"/>
        <w:jc w:val="both"/>
        <w:rPr>
          <w:rFonts w:ascii="Arial" w:eastAsiaTheme="minorEastAsia" w:hAnsi="Arial" w:cs="Arial"/>
          <w:b/>
        </w:rPr>
      </w:pPr>
      <m:oMathPara>
        <m:oMath>
          <m:r>
            <m:rPr>
              <m:sty m:val="bi"/>
            </m:rPr>
            <w:rPr>
              <w:rFonts w:ascii="Cambria Math" w:hAnsi="Cambria Math" w:cs="Arial"/>
            </w:rPr>
            <m:t>PartCE=</m:t>
          </m:r>
          <m:f>
            <m:fPr>
              <m:ctrlPr>
                <w:rPr>
                  <w:rFonts w:ascii="Cambria Math" w:hAnsi="Cambria Math" w:cs="Arial"/>
                  <w:b/>
                  <w:i/>
                </w:rPr>
              </m:ctrlPr>
            </m:fPr>
            <m:num>
              <m:nary>
                <m:naryPr>
                  <m:chr m:val="∑"/>
                  <m:limLoc m:val="undOvr"/>
                  <m:ctrlPr>
                    <w:rPr>
                      <w:rFonts w:ascii="Cambria Math" w:hAnsi="Cambria Math" w:cs="Arial"/>
                      <w:b/>
                      <w:i/>
                    </w:rPr>
                  </m:ctrlPr>
                </m:naryPr>
                <m:sub>
                  <m:r>
                    <m:rPr>
                      <m:sty m:val="bi"/>
                    </m:rPr>
                    <w:rPr>
                      <w:rFonts w:ascii="Cambria Math" w:hAnsi="Cambria Math" w:cs="Arial"/>
                    </w:rPr>
                    <m:t>i=1</m:t>
                  </m:r>
                </m:sub>
                <m:sup>
                  <m:r>
                    <m:rPr>
                      <m:sty m:val="bi"/>
                    </m:rPr>
                    <w:rPr>
                      <w:rFonts w:ascii="Cambria Math" w:hAnsi="Cambria Math" w:cs="Arial"/>
                    </w:rPr>
                    <m:t>n</m:t>
                  </m:r>
                </m:sup>
                <m:e>
                  <m:d>
                    <m:dPr>
                      <m:ctrlPr>
                        <w:rPr>
                          <w:rFonts w:ascii="Cambria Math" w:hAnsi="Cambria Math" w:cs="Arial"/>
                          <w:b/>
                          <w:i/>
                        </w:rPr>
                      </m:ctrlPr>
                    </m:dPr>
                    <m:e>
                      <m:f>
                        <m:fPr>
                          <m:type m:val="lin"/>
                          <m:ctrlPr>
                            <w:rPr>
                              <w:rFonts w:ascii="Cambria Math" w:hAnsi="Cambria Math" w:cs="Arial"/>
                              <w:b/>
                              <w:i/>
                            </w:rPr>
                          </m:ctrlPr>
                        </m:fPr>
                        <m:num>
                          <m:sSub>
                            <m:sSubPr>
                              <m:ctrlPr>
                                <w:rPr>
                                  <w:rFonts w:ascii="Cambria Math" w:hAnsi="Cambria Math" w:cs="Arial"/>
                                  <w:b/>
                                  <w:i/>
                                </w:rPr>
                              </m:ctrlPr>
                            </m:sSubPr>
                            <m:e>
                              <m:r>
                                <m:rPr>
                                  <m:sty m:val="bi"/>
                                </m:rPr>
                                <w:rPr>
                                  <w:rFonts w:ascii="Cambria Math" w:hAnsi="Cambria Math" w:cs="Arial"/>
                                </w:rPr>
                                <m:t>PartRnt</m:t>
                              </m:r>
                            </m:e>
                            <m:sub>
                              <m:r>
                                <m:rPr>
                                  <m:sty m:val="bi"/>
                                </m:rPr>
                                <w:rPr>
                                  <w:rFonts w:ascii="Cambria Math" w:hAnsi="Cambria Math" w:cs="Arial"/>
                                </w:rPr>
                                <m:t>i</m:t>
                              </m:r>
                            </m:sub>
                          </m:sSub>
                        </m:num>
                        <m:den>
                          <m:sSub>
                            <m:sSubPr>
                              <m:ctrlPr>
                                <w:rPr>
                                  <w:rFonts w:ascii="Cambria Math" w:hAnsi="Cambria Math" w:cs="Arial"/>
                                  <w:b/>
                                  <w:i/>
                                </w:rPr>
                              </m:ctrlPr>
                            </m:sSubPr>
                            <m:e>
                              <m:r>
                                <m:rPr>
                                  <m:sty m:val="bi"/>
                                </m:rPr>
                                <w:rPr>
                                  <w:rFonts w:ascii="Cambria Math" w:hAnsi="Cambria Math" w:cs="Arial"/>
                                </w:rPr>
                                <m:t>CapCE</m:t>
                              </m:r>
                            </m:e>
                            <m:sub>
                              <m:r>
                                <m:rPr>
                                  <m:sty m:val="bi"/>
                                </m:rPr>
                                <w:rPr>
                                  <w:rFonts w:ascii="Cambria Math" w:hAnsi="Cambria Math" w:cs="Arial"/>
                                </w:rPr>
                                <m:t>i</m:t>
                              </m:r>
                            </m:sub>
                          </m:sSub>
                        </m:den>
                      </m:f>
                    </m:e>
                  </m:d>
                </m:e>
              </m:nary>
            </m:num>
            <m:den>
              <m:r>
                <m:rPr>
                  <m:sty m:val="bi"/>
                </m:rPr>
                <w:rPr>
                  <w:rFonts w:ascii="Cambria Math" w:hAnsi="Cambria Math" w:cs="Arial"/>
                </w:rPr>
                <m:t>n</m:t>
              </m:r>
            </m:den>
          </m:f>
          <m:d>
            <m:dPr>
              <m:ctrlPr>
                <w:rPr>
                  <w:rFonts w:ascii="Cambria Math" w:hAnsi="Cambria Math" w:cs="Arial"/>
                  <w:b/>
                  <w:i/>
                </w:rPr>
              </m:ctrlPr>
            </m:dPr>
            <m:e>
              <m:f>
                <m:fPr>
                  <m:type m:val="lin"/>
                  <m:ctrlPr>
                    <w:rPr>
                      <w:rFonts w:ascii="Cambria Math" w:hAnsi="Cambria Math" w:cs="Arial"/>
                      <w:b/>
                      <w:i/>
                    </w:rPr>
                  </m:ctrlPr>
                </m:fPr>
                <m:num>
                  <m:r>
                    <m:rPr>
                      <m:sty m:val="bi"/>
                    </m:rPr>
                    <w:rPr>
                      <w:rFonts w:ascii="Cambria Math" w:hAnsi="Cambria Math" w:cs="Arial"/>
                    </w:rPr>
                    <m:t>Pesos</m:t>
                  </m:r>
                </m:num>
                <m:den>
                  <m:r>
                    <m:rPr>
                      <m:sty m:val="bi"/>
                    </m:rPr>
                    <w:rPr>
                      <w:rFonts w:ascii="Cambria Math" w:hAnsi="Cambria Math" w:cs="Arial"/>
                    </w:rPr>
                    <m:t>MW</m:t>
                  </m:r>
                </m:den>
              </m:f>
            </m:e>
          </m:d>
        </m:oMath>
      </m:oMathPara>
    </w:p>
    <w:p w:rsidR="003C76B4" w:rsidRPr="00FA14FD" w:rsidRDefault="003C76B4" w:rsidP="003C76B4">
      <w:pPr>
        <w:spacing w:before="120" w:after="120" w:line="240" w:lineRule="auto"/>
        <w:ind w:left="709"/>
        <w:jc w:val="both"/>
        <w:rPr>
          <w:rFonts w:ascii="Arial" w:hAnsi="Arial" w:cs="Arial"/>
          <w:sz w:val="18"/>
          <w:szCs w:val="18"/>
        </w:rPr>
      </w:pPr>
      <w:r w:rsidRPr="00FA14FD">
        <w:rPr>
          <w:rFonts w:ascii="Arial" w:hAnsi="Arial" w:cs="Arial"/>
          <w:sz w:val="18"/>
          <w:szCs w:val="18"/>
        </w:rPr>
        <w:t>Donde:</w:t>
      </w:r>
    </w:p>
    <w:p w:rsidR="003C76B4" w:rsidRPr="0096683D" w:rsidRDefault="003C76B4" w:rsidP="0096683D">
      <w:pPr>
        <w:pStyle w:val="Prrafodelista"/>
        <w:numPr>
          <w:ilvl w:val="0"/>
          <w:numId w:val="11"/>
        </w:numPr>
        <w:spacing w:before="120" w:after="120" w:line="240" w:lineRule="auto"/>
        <w:jc w:val="both"/>
        <w:rPr>
          <w:rFonts w:ascii="Arial" w:hAnsi="Arial" w:cs="Arial"/>
          <w:sz w:val="18"/>
          <w:szCs w:val="18"/>
        </w:rPr>
      </w:pPr>
      <m:oMath>
        <m:r>
          <m:rPr>
            <m:sty m:val="bi"/>
          </m:rPr>
          <w:rPr>
            <w:rFonts w:ascii="Cambria Math" w:hAnsi="Cambria Math" w:cs="Arial"/>
          </w:rPr>
          <m:t>PartCE</m:t>
        </m:r>
      </m:oMath>
      <w:r w:rsidRPr="0096683D">
        <w:rPr>
          <w:rFonts w:ascii="Arial" w:hAnsi="Arial" w:cs="Arial"/>
        </w:rPr>
        <w:t xml:space="preserve"> : </w:t>
      </w:r>
      <w:r w:rsidRPr="0096683D">
        <w:rPr>
          <w:rFonts w:ascii="Arial" w:hAnsi="Arial" w:cs="Arial"/>
          <w:sz w:val="18"/>
          <w:szCs w:val="18"/>
        </w:rPr>
        <w:t>Monto de la participación de las nuevas Centrales Eléctricas o Centros de Carga en los refuerzos de la RNT con respecto a la capacidad de generación adicional para el año.</w:t>
      </w:r>
    </w:p>
    <w:p w:rsidR="003C76B4" w:rsidRPr="0096683D" w:rsidRDefault="005F3376" w:rsidP="0096683D">
      <w:pPr>
        <w:pStyle w:val="Prrafodelista"/>
        <w:numPr>
          <w:ilvl w:val="0"/>
          <w:numId w:val="11"/>
        </w:numPr>
        <w:spacing w:before="120" w:after="120" w:line="240" w:lineRule="auto"/>
        <w:jc w:val="both"/>
        <w:rPr>
          <w:rFonts w:ascii="Arial" w:hAnsi="Arial" w:cs="Arial"/>
        </w:rPr>
      </w:pPr>
      <m:oMath>
        <m:sSub>
          <m:sSubPr>
            <m:ctrlPr>
              <w:rPr>
                <w:rFonts w:ascii="Cambria Math" w:hAnsi="Cambria Math" w:cs="Arial"/>
                <w:b/>
                <w:i/>
              </w:rPr>
            </m:ctrlPr>
          </m:sSubPr>
          <m:e>
            <m:r>
              <m:rPr>
                <m:sty m:val="bi"/>
              </m:rPr>
              <w:rPr>
                <w:rFonts w:ascii="Cambria Math" w:hAnsi="Cambria Math" w:cs="Arial"/>
              </w:rPr>
              <m:t>CapCE</m:t>
            </m:r>
          </m:e>
          <m:sub>
            <m:r>
              <m:rPr>
                <m:sty m:val="bi"/>
              </m:rPr>
              <w:rPr>
                <w:rFonts w:ascii="Cambria Math" w:hAnsi="Cambria Math" w:cs="Arial"/>
              </w:rPr>
              <m:t>i</m:t>
            </m:r>
          </m:sub>
        </m:sSub>
      </m:oMath>
      <w:r w:rsidR="003C76B4" w:rsidRPr="0096683D">
        <w:rPr>
          <w:rFonts w:ascii="Arial" w:hAnsi="Arial" w:cs="Arial"/>
        </w:rPr>
        <w:t xml:space="preserve">: </w:t>
      </w:r>
      <w:r w:rsidR="003C76B4" w:rsidRPr="0096683D">
        <w:rPr>
          <w:rFonts w:ascii="Arial" w:hAnsi="Arial" w:cs="Arial"/>
          <w:sz w:val="18"/>
          <w:szCs w:val="18"/>
        </w:rPr>
        <w:t>Adiciones de capacidad de Centrales Eléctricas para el año i.</w:t>
      </w:r>
    </w:p>
    <w:p w:rsidR="003C76B4" w:rsidRPr="0096683D" w:rsidRDefault="003C76B4" w:rsidP="0096683D">
      <w:pPr>
        <w:pStyle w:val="Prrafodelista"/>
        <w:numPr>
          <w:ilvl w:val="0"/>
          <w:numId w:val="11"/>
        </w:numPr>
        <w:spacing w:before="120" w:after="120" w:line="240" w:lineRule="auto"/>
        <w:jc w:val="both"/>
        <w:rPr>
          <w:rFonts w:ascii="Arial" w:hAnsi="Arial" w:cs="Arial"/>
          <w:sz w:val="18"/>
          <w:szCs w:val="18"/>
        </w:rPr>
      </w:pPr>
      <w:r w:rsidRPr="0096683D">
        <w:rPr>
          <w:rFonts w:ascii="Arial" w:hAnsi="Arial" w:cs="Arial"/>
          <w:b/>
          <w:i/>
        </w:rPr>
        <w:t>n</w:t>
      </w:r>
      <w:r w:rsidRPr="0096683D">
        <w:rPr>
          <w:rFonts w:ascii="Arial" w:hAnsi="Arial" w:cs="Arial"/>
        </w:rPr>
        <w:t xml:space="preserve">: </w:t>
      </w:r>
      <w:r w:rsidRPr="0096683D">
        <w:rPr>
          <w:rFonts w:ascii="Arial" w:hAnsi="Arial" w:cs="Arial"/>
          <w:sz w:val="18"/>
          <w:szCs w:val="18"/>
        </w:rPr>
        <w:t>Número de años.</w:t>
      </w:r>
    </w:p>
    <w:p w:rsidR="003C76B4" w:rsidRPr="00FA14FD" w:rsidRDefault="003C76B4" w:rsidP="003C76B4">
      <w:pPr>
        <w:spacing w:before="120" w:after="120" w:line="240" w:lineRule="auto"/>
        <w:ind w:left="709"/>
        <w:jc w:val="both"/>
        <w:rPr>
          <w:rFonts w:ascii="Arial" w:hAnsi="Arial" w:cs="Arial"/>
          <w:sz w:val="18"/>
          <w:szCs w:val="18"/>
        </w:rPr>
      </w:pPr>
      <w:r w:rsidRPr="00FA14FD">
        <w:rPr>
          <w:rFonts w:ascii="Arial" w:hAnsi="Arial" w:cs="Arial"/>
          <w:sz w:val="18"/>
          <w:szCs w:val="18"/>
        </w:rPr>
        <w:t>Para determinar la aportación en UDIS, se divide el resultado de la ecuación anterior entre el Tipo de Cambio (TC):</w:t>
      </w:r>
    </w:p>
    <w:p w:rsidR="003C76B4" w:rsidRPr="0096683D" w:rsidRDefault="0096683D" w:rsidP="003C76B4">
      <w:pPr>
        <w:spacing w:before="120" w:after="120" w:line="240" w:lineRule="auto"/>
        <w:jc w:val="both"/>
        <w:rPr>
          <w:rFonts w:ascii="Arial" w:hAnsi="Arial" w:cs="Arial"/>
          <w:b/>
        </w:rPr>
      </w:pPr>
      <m:oMathPara>
        <m:oMath>
          <m:r>
            <m:rPr>
              <m:sty m:val="bi"/>
            </m:rPr>
            <w:rPr>
              <w:rFonts w:ascii="Cambria Math" w:hAnsi="Cambria Math" w:cs="Arial"/>
            </w:rPr>
            <m:t xml:space="preserve">PartCE= </m:t>
          </m:r>
          <m:f>
            <m:fPr>
              <m:ctrlPr>
                <w:rPr>
                  <w:rFonts w:ascii="Cambria Math" w:hAnsi="Cambria Math" w:cs="Arial"/>
                  <w:b/>
                  <w:i/>
                </w:rPr>
              </m:ctrlPr>
            </m:fPr>
            <m:num>
              <m:r>
                <m:rPr>
                  <m:sty m:val="bi"/>
                </m:rPr>
                <w:rPr>
                  <w:rFonts w:ascii="Cambria Math" w:hAnsi="Cambria Math" w:cs="Arial"/>
                </w:rPr>
                <m:t>PartCE</m:t>
              </m:r>
            </m:num>
            <m:den>
              <m:r>
                <m:rPr>
                  <m:sty m:val="bi"/>
                </m:rPr>
                <w:rPr>
                  <w:rFonts w:ascii="Cambria Math" w:hAnsi="Cambria Math" w:cs="Arial"/>
                </w:rPr>
                <m:t>T</m:t>
              </m:r>
              <m:r>
                <m:rPr>
                  <m:sty m:val="bi"/>
                </m:rPr>
                <w:rPr>
                  <w:rFonts w:ascii="Cambria Math" w:hAnsi="Cambria Math" w:cs="Arial"/>
                </w:rPr>
                <m:t>C</m:t>
              </m:r>
            </m:den>
          </m:f>
          <m:d>
            <m:dPr>
              <m:ctrlPr>
                <w:rPr>
                  <w:rFonts w:ascii="Cambria Math" w:hAnsi="Cambria Math" w:cs="Arial"/>
                  <w:b/>
                  <w:i/>
                </w:rPr>
              </m:ctrlPr>
            </m:dPr>
            <m:e>
              <m:f>
                <m:fPr>
                  <m:type m:val="lin"/>
                  <m:ctrlPr>
                    <w:rPr>
                      <w:rFonts w:ascii="Cambria Math" w:hAnsi="Cambria Math" w:cs="Arial"/>
                      <w:b/>
                      <w:i/>
                    </w:rPr>
                  </m:ctrlPr>
                </m:fPr>
                <m:num>
                  <m:r>
                    <m:rPr>
                      <m:sty m:val="bi"/>
                    </m:rPr>
                    <w:rPr>
                      <w:rFonts w:ascii="Cambria Math" w:hAnsi="Cambria Math" w:cs="Arial"/>
                    </w:rPr>
                    <m:t>UDIS</m:t>
                  </m:r>
                </m:num>
                <m:den>
                  <m:r>
                    <m:rPr>
                      <m:sty m:val="bi"/>
                    </m:rPr>
                    <w:rPr>
                      <w:rFonts w:ascii="Cambria Math" w:hAnsi="Cambria Math" w:cs="Arial"/>
                    </w:rPr>
                    <m:t>MW</m:t>
                  </m:r>
                </m:den>
              </m:f>
            </m:e>
          </m:d>
        </m:oMath>
      </m:oMathPara>
    </w:p>
    <w:p w:rsidR="003C76B4" w:rsidRPr="00FA14FD" w:rsidRDefault="003C76B4" w:rsidP="003C76B4">
      <w:pPr>
        <w:spacing w:before="120" w:after="120" w:line="240" w:lineRule="auto"/>
        <w:ind w:left="709"/>
        <w:jc w:val="both"/>
        <w:rPr>
          <w:rFonts w:ascii="Arial" w:hAnsi="Arial" w:cs="Arial"/>
          <w:sz w:val="18"/>
          <w:szCs w:val="18"/>
        </w:rPr>
      </w:pPr>
      <w:r w:rsidRPr="00FA14FD">
        <w:rPr>
          <w:rFonts w:ascii="Arial" w:hAnsi="Arial" w:cs="Arial"/>
          <w:sz w:val="18"/>
          <w:szCs w:val="18"/>
        </w:rPr>
        <w:t>Donde:</w:t>
      </w:r>
    </w:p>
    <w:p w:rsidR="003C76B4" w:rsidRPr="0096683D" w:rsidRDefault="003C76B4" w:rsidP="0096683D">
      <w:pPr>
        <w:pStyle w:val="Prrafodelista"/>
        <w:numPr>
          <w:ilvl w:val="0"/>
          <w:numId w:val="12"/>
        </w:numPr>
        <w:spacing w:before="120" w:after="120" w:line="240" w:lineRule="auto"/>
        <w:jc w:val="both"/>
        <w:rPr>
          <w:rFonts w:ascii="Arial" w:hAnsi="Arial" w:cs="Arial"/>
          <w:sz w:val="18"/>
          <w:szCs w:val="18"/>
        </w:rPr>
      </w:pPr>
      <m:oMath>
        <m:r>
          <m:rPr>
            <m:sty m:val="bi"/>
          </m:rPr>
          <w:rPr>
            <w:rFonts w:ascii="Cambria Math" w:hAnsi="Cambria Math" w:cs="Arial"/>
          </w:rPr>
          <m:t>PartCE</m:t>
        </m:r>
      </m:oMath>
      <w:r w:rsidRPr="0096683D">
        <w:rPr>
          <w:rFonts w:ascii="Arial" w:hAnsi="Arial" w:cs="Arial"/>
        </w:rPr>
        <w:t xml:space="preserve"> : </w:t>
      </w:r>
      <w:r w:rsidRPr="0096683D">
        <w:rPr>
          <w:rFonts w:ascii="Arial" w:hAnsi="Arial" w:cs="Arial"/>
          <w:sz w:val="18"/>
          <w:szCs w:val="18"/>
        </w:rPr>
        <w:t>Monto de la participación de las nuevas Centrales Eléctricas o Centros de Carga en los refuerzos de la RNT con respecto a la capacidad de generación adicional para el año.</w:t>
      </w:r>
    </w:p>
    <w:p w:rsidR="003C76B4" w:rsidRPr="0096683D" w:rsidRDefault="003C76B4" w:rsidP="0096683D">
      <w:pPr>
        <w:pStyle w:val="Prrafodelista"/>
        <w:numPr>
          <w:ilvl w:val="0"/>
          <w:numId w:val="12"/>
        </w:numPr>
        <w:spacing w:before="120" w:after="120" w:line="240" w:lineRule="auto"/>
        <w:jc w:val="both"/>
        <w:rPr>
          <w:rFonts w:ascii="Arial" w:hAnsi="Arial" w:cs="Arial"/>
          <w:sz w:val="18"/>
          <w:szCs w:val="18"/>
        </w:rPr>
      </w:pPr>
      <w:r w:rsidRPr="0096683D">
        <w:rPr>
          <w:rFonts w:ascii="Arial" w:hAnsi="Arial" w:cs="Arial"/>
          <w:b/>
          <w:i/>
        </w:rPr>
        <w:lastRenderedPageBreak/>
        <w:t>TC :</w:t>
      </w:r>
      <w:r w:rsidRPr="0096683D">
        <w:rPr>
          <w:rFonts w:ascii="Arial" w:hAnsi="Arial" w:cs="Arial"/>
        </w:rPr>
        <w:t xml:space="preserve"> </w:t>
      </w:r>
      <w:r w:rsidRPr="0096683D">
        <w:rPr>
          <w:rFonts w:ascii="Arial" w:hAnsi="Arial" w:cs="Arial"/>
          <w:sz w:val="18"/>
          <w:szCs w:val="18"/>
        </w:rPr>
        <w:t xml:space="preserve">Tipo de cambio </w:t>
      </w:r>
      <w:proofErr w:type="spellStart"/>
      <w:r w:rsidRPr="0096683D">
        <w:rPr>
          <w:rFonts w:ascii="Arial" w:hAnsi="Arial" w:cs="Arial"/>
          <w:sz w:val="18"/>
          <w:szCs w:val="18"/>
        </w:rPr>
        <w:t>Fix</w:t>
      </w:r>
      <w:proofErr w:type="spellEnd"/>
      <w:r w:rsidRPr="0096683D">
        <w:rPr>
          <w:rFonts w:ascii="Arial" w:hAnsi="Arial" w:cs="Arial"/>
          <w:sz w:val="18"/>
          <w:szCs w:val="18"/>
        </w:rPr>
        <w:t>, para solventar obligaciones denominadas en UDIS, pagaderas en la República Mexicana, publicado por el Banco de México el décimo día hábil posterior a la publicación del PRODESEN.</w:t>
      </w:r>
    </w:p>
    <w:p w:rsidR="003C76B4" w:rsidRPr="00FA14FD" w:rsidRDefault="003C76B4" w:rsidP="003C76B4">
      <w:pPr>
        <w:pStyle w:val="Prrafodelista"/>
        <w:numPr>
          <w:ilvl w:val="0"/>
          <w:numId w:val="1"/>
        </w:numPr>
        <w:spacing w:before="120" w:after="120" w:line="240" w:lineRule="auto"/>
        <w:ind w:left="714" w:hanging="357"/>
        <w:contextualSpacing w:val="0"/>
        <w:jc w:val="both"/>
        <w:rPr>
          <w:rFonts w:ascii="Arial" w:hAnsi="Arial" w:cs="Arial"/>
          <w:sz w:val="18"/>
          <w:szCs w:val="18"/>
        </w:rPr>
      </w:pPr>
      <w:r w:rsidRPr="00FA14FD">
        <w:rPr>
          <w:rFonts w:ascii="Arial" w:hAnsi="Arial" w:cs="Arial"/>
          <w:sz w:val="18"/>
          <w:szCs w:val="18"/>
        </w:rPr>
        <w:t>Para la aportación de la Garantía Financiera de Proyectos que se registren durante el 2015 y hasta la fecha de publicación del PRODESEN 2017–2031, se utilizará lo siguiente:</w:t>
      </w:r>
    </w:p>
    <w:p w:rsidR="00F810F4" w:rsidRDefault="00F810F4" w:rsidP="00497A39">
      <w:pPr>
        <w:spacing w:after="0" w:line="240" w:lineRule="auto"/>
        <w:jc w:val="center"/>
        <w:rPr>
          <w:rFonts w:ascii="Arial" w:eastAsia="Times New Roman" w:hAnsi="Arial" w:cs="Arial"/>
          <w:b/>
          <w:bCs/>
          <w:color w:val="000000"/>
          <w:sz w:val="16"/>
          <w:szCs w:val="16"/>
          <w:lang w:eastAsia="es-MX"/>
        </w:rPr>
      </w:pPr>
      <w:r w:rsidRPr="00497A39">
        <w:rPr>
          <w:rFonts w:ascii="Arial" w:eastAsia="Times New Roman" w:hAnsi="Arial" w:cs="Arial"/>
          <w:b/>
          <w:bCs/>
          <w:color w:val="000000"/>
          <w:sz w:val="16"/>
          <w:szCs w:val="16"/>
          <w:lang w:eastAsia="es-MX"/>
        </w:rPr>
        <w:t>Cálculo de la Aportación de Garantía Financiera para Centrales Eléctricas que Forman Parte del Proceso para la Planeación</w:t>
      </w:r>
    </w:p>
    <w:p w:rsidR="00F810F4" w:rsidRPr="00497A39" w:rsidRDefault="00F810F4" w:rsidP="00497A39">
      <w:pPr>
        <w:spacing w:after="0" w:line="240" w:lineRule="auto"/>
        <w:jc w:val="center"/>
        <w:rPr>
          <w:rFonts w:ascii="Arial" w:eastAsia="Times New Roman" w:hAnsi="Arial" w:cs="Arial"/>
          <w:b/>
          <w:bCs/>
          <w:color w:val="000000"/>
          <w:sz w:val="16"/>
          <w:szCs w:val="16"/>
          <w:lang w:eastAsia="es-MX"/>
        </w:rPr>
      </w:pPr>
    </w:p>
    <w:p w:rsidR="00F810F4" w:rsidRPr="00497A39" w:rsidRDefault="00F810F4" w:rsidP="00497A39">
      <w:pPr>
        <w:spacing w:after="0" w:line="240" w:lineRule="auto"/>
        <w:rPr>
          <w:rFonts w:ascii="Arial" w:eastAsia="Times New Roman" w:hAnsi="Arial" w:cs="Arial"/>
          <w:b/>
          <w:bCs/>
          <w:color w:val="000000"/>
          <w:sz w:val="16"/>
          <w:szCs w:val="16"/>
          <w:lang w:eastAsia="es-MX"/>
        </w:rPr>
      </w:pPr>
      <w:r w:rsidRPr="00F810F4">
        <w:rPr>
          <w:noProof/>
          <w:lang w:eastAsia="es-MX"/>
        </w:rPr>
        <w:drawing>
          <wp:anchor distT="0" distB="0" distL="114300" distR="114300" simplePos="0" relativeHeight="251658240" behindDoc="0" locked="0" layoutInCell="1" allowOverlap="1">
            <wp:simplePos x="0" y="0"/>
            <wp:positionH relativeFrom="margin">
              <wp:align>center</wp:align>
            </wp:positionH>
            <wp:positionV relativeFrom="paragraph">
              <wp:posOffset>1270</wp:posOffset>
            </wp:positionV>
            <wp:extent cx="5612130" cy="3323590"/>
            <wp:effectExtent l="0" t="0" r="762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12130" cy="33235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C76B4" w:rsidRPr="008212FA" w:rsidRDefault="003C76B4" w:rsidP="003C76B4">
      <w:pPr>
        <w:spacing w:before="120" w:after="120" w:line="240" w:lineRule="auto"/>
        <w:jc w:val="both"/>
        <w:rPr>
          <w:rFonts w:ascii="Arial" w:hAnsi="Arial" w:cs="Arial"/>
        </w:rPr>
      </w:pPr>
    </w:p>
    <w:p w:rsidR="003C76B4" w:rsidRPr="00FA14FD" w:rsidRDefault="003C76B4" w:rsidP="003C76B4">
      <w:pPr>
        <w:spacing w:before="120" w:after="120" w:line="240" w:lineRule="auto"/>
        <w:jc w:val="both"/>
        <w:rPr>
          <w:rFonts w:ascii="Arial" w:hAnsi="Arial" w:cs="Arial"/>
          <w:sz w:val="18"/>
          <w:szCs w:val="18"/>
        </w:rPr>
      </w:pPr>
      <w:r w:rsidRPr="00FA14FD">
        <w:rPr>
          <w:rFonts w:ascii="Arial" w:hAnsi="Arial" w:cs="Arial"/>
          <w:sz w:val="18"/>
          <w:szCs w:val="18"/>
        </w:rPr>
        <w:t>El monto de la Garantía se actualizará anualmente de acuerdo a esta Metodología a más tardar 10       Días Hábiles posteriores a la publicación del PRODESEN.</w:t>
      </w:r>
    </w:p>
    <w:p w:rsidR="003C76B4" w:rsidRPr="00FA14FD" w:rsidRDefault="003C76B4" w:rsidP="003C76B4">
      <w:pPr>
        <w:spacing w:before="120" w:after="120" w:line="240" w:lineRule="auto"/>
        <w:jc w:val="both"/>
        <w:rPr>
          <w:rFonts w:ascii="Arial" w:hAnsi="Arial" w:cs="Arial"/>
          <w:sz w:val="18"/>
          <w:szCs w:val="18"/>
        </w:rPr>
      </w:pPr>
      <w:r w:rsidRPr="00FA14FD">
        <w:rPr>
          <w:rFonts w:ascii="Arial" w:hAnsi="Arial" w:cs="Arial"/>
          <w:sz w:val="18"/>
          <w:szCs w:val="18"/>
        </w:rPr>
        <w:t>Se utilizó como referencia el Programa de Obras e Inversiones del Sector Eléctrico POISE 2014 – 2028.</w:t>
      </w:r>
    </w:p>
    <w:p w:rsidR="003C76B4" w:rsidRPr="00FA14FD" w:rsidRDefault="003C76B4" w:rsidP="003C76B4">
      <w:pPr>
        <w:pStyle w:val="Prrafodelista"/>
        <w:numPr>
          <w:ilvl w:val="0"/>
          <w:numId w:val="2"/>
        </w:numPr>
        <w:spacing w:before="120" w:after="120" w:line="240" w:lineRule="auto"/>
        <w:contextualSpacing w:val="0"/>
        <w:jc w:val="both"/>
        <w:rPr>
          <w:rFonts w:ascii="Arial" w:hAnsi="Arial" w:cs="Arial"/>
          <w:sz w:val="18"/>
          <w:szCs w:val="18"/>
        </w:rPr>
      </w:pPr>
      <w:r w:rsidRPr="00FA14FD">
        <w:rPr>
          <w:rFonts w:ascii="Arial" w:hAnsi="Arial" w:cs="Arial"/>
          <w:b/>
          <w:sz w:val="18"/>
          <w:szCs w:val="18"/>
        </w:rPr>
        <w:t>Gráfica 4.1</w:t>
      </w:r>
      <w:r w:rsidRPr="00FA14FD">
        <w:rPr>
          <w:rFonts w:ascii="Arial" w:hAnsi="Arial" w:cs="Arial"/>
          <w:sz w:val="18"/>
          <w:szCs w:val="18"/>
        </w:rPr>
        <w:t xml:space="preserve"> Evolución del Autoabastecimiento y Cogeneración</w:t>
      </w:r>
    </w:p>
    <w:p w:rsidR="003C76B4" w:rsidRPr="00FA14FD" w:rsidRDefault="003C76B4" w:rsidP="003C76B4">
      <w:pPr>
        <w:pStyle w:val="Prrafodelista"/>
        <w:numPr>
          <w:ilvl w:val="0"/>
          <w:numId w:val="2"/>
        </w:numPr>
        <w:spacing w:before="120" w:after="120" w:line="240" w:lineRule="auto"/>
        <w:contextualSpacing w:val="0"/>
        <w:jc w:val="both"/>
        <w:rPr>
          <w:rFonts w:ascii="Arial" w:hAnsi="Arial" w:cs="Arial"/>
          <w:sz w:val="18"/>
          <w:szCs w:val="18"/>
        </w:rPr>
      </w:pPr>
      <w:r w:rsidRPr="00FA14FD">
        <w:rPr>
          <w:rFonts w:ascii="Arial" w:hAnsi="Arial" w:cs="Arial"/>
          <w:b/>
          <w:sz w:val="18"/>
          <w:szCs w:val="18"/>
        </w:rPr>
        <w:t>Cuadro</w:t>
      </w:r>
      <w:r w:rsidRPr="00FA14FD">
        <w:rPr>
          <w:rFonts w:ascii="Arial" w:hAnsi="Arial" w:cs="Arial"/>
          <w:sz w:val="18"/>
          <w:szCs w:val="18"/>
        </w:rPr>
        <w:t xml:space="preserve"> </w:t>
      </w:r>
      <w:r w:rsidRPr="00FA14FD">
        <w:rPr>
          <w:rFonts w:ascii="Arial" w:hAnsi="Arial" w:cs="Arial"/>
          <w:b/>
          <w:sz w:val="18"/>
          <w:szCs w:val="18"/>
        </w:rPr>
        <w:t>4.17a</w:t>
      </w:r>
      <w:r w:rsidRPr="00FA14FD">
        <w:rPr>
          <w:rFonts w:ascii="Arial" w:hAnsi="Arial" w:cs="Arial"/>
          <w:sz w:val="18"/>
          <w:szCs w:val="18"/>
        </w:rPr>
        <w:t xml:space="preserve"> Programa de requerimientos de capacidad para servicio público, Escenario de Planeación.</w:t>
      </w:r>
    </w:p>
    <w:p w:rsidR="003C76B4" w:rsidRPr="00FA14FD" w:rsidRDefault="003C76B4" w:rsidP="003C76B4">
      <w:pPr>
        <w:pStyle w:val="Prrafodelista"/>
        <w:numPr>
          <w:ilvl w:val="0"/>
          <w:numId w:val="2"/>
        </w:numPr>
        <w:spacing w:before="120" w:after="120" w:line="240" w:lineRule="auto"/>
        <w:contextualSpacing w:val="0"/>
        <w:jc w:val="both"/>
        <w:rPr>
          <w:rFonts w:ascii="Arial" w:hAnsi="Arial" w:cs="Arial"/>
          <w:sz w:val="18"/>
          <w:szCs w:val="18"/>
        </w:rPr>
      </w:pPr>
      <w:r w:rsidRPr="00FA14FD">
        <w:rPr>
          <w:rFonts w:ascii="Arial" w:hAnsi="Arial" w:cs="Arial"/>
          <w:b/>
          <w:sz w:val="18"/>
          <w:szCs w:val="18"/>
        </w:rPr>
        <w:t>Cuadro 7.2a</w:t>
      </w:r>
      <w:r w:rsidRPr="00FA14FD">
        <w:rPr>
          <w:rFonts w:ascii="Arial" w:hAnsi="Arial" w:cs="Arial"/>
          <w:sz w:val="18"/>
          <w:szCs w:val="18"/>
        </w:rPr>
        <w:t xml:space="preserve"> (Programa de Inversiones 2014-2021 (millones de Pesos de 2013).</w:t>
      </w:r>
    </w:p>
    <w:p w:rsidR="003C76B4" w:rsidRPr="00FA14FD" w:rsidRDefault="003C76B4" w:rsidP="00FA14FD">
      <w:pPr>
        <w:pStyle w:val="Prrafodelista"/>
        <w:numPr>
          <w:ilvl w:val="0"/>
          <w:numId w:val="8"/>
        </w:numPr>
        <w:spacing w:before="120" w:after="120" w:line="240" w:lineRule="auto"/>
        <w:jc w:val="both"/>
        <w:rPr>
          <w:rFonts w:ascii="Arial" w:hAnsi="Arial" w:cs="Arial"/>
          <w:b/>
          <w:sz w:val="18"/>
          <w:szCs w:val="18"/>
        </w:rPr>
      </w:pPr>
      <w:r w:rsidRPr="00FA14FD">
        <w:rPr>
          <w:rFonts w:ascii="Arial" w:hAnsi="Arial" w:cs="Arial"/>
          <w:b/>
          <w:sz w:val="18"/>
          <w:szCs w:val="18"/>
        </w:rPr>
        <w:t>Ejemplo de Aportación de Garantía</w:t>
      </w:r>
    </w:p>
    <w:p w:rsidR="003C76B4" w:rsidRPr="00FA14FD" w:rsidRDefault="003C76B4" w:rsidP="003C76B4">
      <w:pPr>
        <w:spacing w:before="120" w:after="120" w:line="240" w:lineRule="auto"/>
        <w:jc w:val="both"/>
        <w:rPr>
          <w:rFonts w:ascii="Arial" w:hAnsi="Arial" w:cs="Arial"/>
          <w:sz w:val="18"/>
          <w:szCs w:val="18"/>
          <w:lang w:eastAsia="es-MX"/>
        </w:rPr>
      </w:pPr>
      <w:r w:rsidRPr="00FA14FD">
        <w:rPr>
          <w:rFonts w:ascii="Arial" w:hAnsi="Arial" w:cs="Arial"/>
          <w:sz w:val="18"/>
          <w:szCs w:val="18"/>
          <w:lang w:eastAsia="es-MX"/>
        </w:rPr>
        <w:t>Para un Proyecto de 500 MW:</w:t>
      </w:r>
    </w:p>
    <w:p w:rsidR="003C76B4" w:rsidRPr="00FA14FD" w:rsidRDefault="003C76B4" w:rsidP="003C76B4">
      <w:pPr>
        <w:spacing w:before="120" w:after="120" w:line="240" w:lineRule="auto"/>
        <w:jc w:val="both"/>
        <w:rPr>
          <w:rFonts w:ascii="Arial" w:hAnsi="Arial" w:cs="Arial"/>
          <w:sz w:val="18"/>
          <w:szCs w:val="18"/>
          <w:lang w:eastAsia="es-MX"/>
        </w:rPr>
      </w:pPr>
      <w:r w:rsidRPr="00FA14FD">
        <w:rPr>
          <w:rFonts w:ascii="Arial" w:hAnsi="Arial" w:cs="Arial"/>
          <w:sz w:val="18"/>
          <w:szCs w:val="18"/>
        </w:rPr>
        <w:t>_________ (____________)</w:t>
      </w:r>
      <w:r w:rsidRPr="00FA14FD">
        <w:rPr>
          <w:rFonts w:ascii="Arial" w:hAnsi="Arial" w:cs="Arial"/>
          <w:sz w:val="18"/>
          <w:szCs w:val="18"/>
          <w:lang w:eastAsia="es-MX"/>
        </w:rPr>
        <w:t xml:space="preserve"> UDIS/MW * 500 MW = 65</w:t>
      </w:r>
      <w:proofErr w:type="gramStart"/>
      <w:r w:rsidRPr="00FA14FD">
        <w:rPr>
          <w:rFonts w:ascii="Arial" w:hAnsi="Arial" w:cs="Arial"/>
          <w:sz w:val="18"/>
          <w:szCs w:val="18"/>
          <w:lang w:eastAsia="es-MX"/>
        </w:rPr>
        <w:t>,000,000</w:t>
      </w:r>
      <w:proofErr w:type="gramEnd"/>
      <w:r w:rsidRPr="00FA14FD">
        <w:rPr>
          <w:rFonts w:ascii="Arial" w:hAnsi="Arial" w:cs="Arial"/>
          <w:sz w:val="18"/>
          <w:szCs w:val="18"/>
          <w:lang w:eastAsia="es-MX"/>
        </w:rPr>
        <w:t xml:space="preserve"> UDIS</w:t>
      </w:r>
    </w:p>
    <w:p w:rsidR="003C76B4" w:rsidRPr="00FA14FD" w:rsidRDefault="003C76B4" w:rsidP="003C76B4">
      <w:pPr>
        <w:spacing w:before="120" w:after="120" w:line="240" w:lineRule="auto"/>
        <w:jc w:val="both"/>
        <w:rPr>
          <w:rFonts w:ascii="Arial" w:hAnsi="Arial" w:cs="Arial"/>
          <w:b/>
          <w:sz w:val="18"/>
          <w:szCs w:val="18"/>
          <w:lang w:eastAsia="es-MX"/>
        </w:rPr>
      </w:pPr>
      <w:r w:rsidRPr="00FA14FD">
        <w:rPr>
          <w:rFonts w:ascii="Arial" w:hAnsi="Arial" w:cs="Arial"/>
          <w:sz w:val="18"/>
          <w:szCs w:val="18"/>
          <w:lang w:eastAsia="es-MX"/>
        </w:rPr>
        <w:t xml:space="preserve">El monto de la Carta de Crédito será entonces por </w:t>
      </w:r>
      <w:r w:rsidRPr="00FA14FD">
        <w:rPr>
          <w:rFonts w:ascii="Arial" w:hAnsi="Arial" w:cs="Arial"/>
          <w:b/>
          <w:sz w:val="18"/>
          <w:szCs w:val="18"/>
          <w:lang w:eastAsia="es-MX"/>
        </w:rPr>
        <w:t>65</w:t>
      </w:r>
      <w:proofErr w:type="gramStart"/>
      <w:r w:rsidRPr="00FA14FD">
        <w:rPr>
          <w:rFonts w:ascii="Arial" w:hAnsi="Arial" w:cs="Arial"/>
          <w:b/>
          <w:sz w:val="18"/>
          <w:szCs w:val="18"/>
          <w:lang w:eastAsia="es-MX"/>
        </w:rPr>
        <w:t>,000,000</w:t>
      </w:r>
      <w:proofErr w:type="gramEnd"/>
      <w:r w:rsidRPr="00FA14FD">
        <w:rPr>
          <w:rFonts w:ascii="Arial" w:hAnsi="Arial" w:cs="Arial"/>
          <w:b/>
          <w:sz w:val="18"/>
          <w:szCs w:val="18"/>
          <w:lang w:eastAsia="es-MX"/>
        </w:rPr>
        <w:t xml:space="preserve"> UDIS</w:t>
      </w:r>
    </w:p>
    <w:p w:rsidR="003C76B4" w:rsidRPr="00FA14FD" w:rsidRDefault="003C76B4" w:rsidP="003C76B4">
      <w:pPr>
        <w:spacing w:before="120" w:after="120" w:line="240" w:lineRule="auto"/>
        <w:jc w:val="both"/>
        <w:rPr>
          <w:rFonts w:ascii="Arial" w:hAnsi="Arial" w:cs="Arial"/>
          <w:sz w:val="18"/>
          <w:szCs w:val="18"/>
          <w:lang w:eastAsia="es-MX"/>
        </w:rPr>
      </w:pPr>
      <w:r w:rsidRPr="00FA14FD">
        <w:rPr>
          <w:rFonts w:ascii="Arial" w:hAnsi="Arial" w:cs="Arial"/>
          <w:sz w:val="18"/>
          <w:szCs w:val="18"/>
          <w:lang w:eastAsia="es-MX"/>
        </w:rPr>
        <w:t xml:space="preserve">Si el costo de inversión de un Proyecto de Ciclo Combinado es aproximadamente de </w:t>
      </w:r>
      <w:r w:rsidRPr="00FA14FD">
        <w:rPr>
          <w:rFonts w:ascii="Arial" w:hAnsi="Arial" w:cs="Arial"/>
          <w:sz w:val="18"/>
          <w:szCs w:val="18"/>
        </w:rPr>
        <w:t>_________ (____________)</w:t>
      </w:r>
      <w:r w:rsidRPr="00FA14FD">
        <w:rPr>
          <w:rFonts w:ascii="Arial" w:hAnsi="Arial" w:cs="Arial"/>
          <w:sz w:val="18"/>
          <w:szCs w:val="18"/>
          <w:lang w:eastAsia="es-MX"/>
        </w:rPr>
        <w:t>, entonces, para una Central Eléctrica de 500 MW, el monto total de la inversión sería de:</w:t>
      </w:r>
    </w:p>
    <w:p w:rsidR="003C76B4" w:rsidRPr="00FA14FD" w:rsidRDefault="003C76B4" w:rsidP="003C76B4">
      <w:pPr>
        <w:spacing w:before="120" w:after="120" w:line="240" w:lineRule="auto"/>
        <w:jc w:val="both"/>
        <w:rPr>
          <w:rFonts w:ascii="Arial" w:hAnsi="Arial" w:cs="Arial"/>
          <w:sz w:val="18"/>
          <w:szCs w:val="18"/>
          <w:lang w:eastAsia="es-MX"/>
        </w:rPr>
      </w:pPr>
      <w:r w:rsidRPr="00FA14FD">
        <w:rPr>
          <w:rFonts w:ascii="Arial" w:hAnsi="Arial" w:cs="Arial"/>
          <w:sz w:val="18"/>
          <w:szCs w:val="18"/>
        </w:rPr>
        <w:t>_________ (____________)</w:t>
      </w:r>
      <w:r w:rsidRPr="00FA14FD">
        <w:rPr>
          <w:rFonts w:ascii="Arial" w:hAnsi="Arial" w:cs="Arial"/>
          <w:sz w:val="18"/>
          <w:szCs w:val="18"/>
          <w:lang w:eastAsia="es-MX"/>
        </w:rPr>
        <w:t xml:space="preserve"> UDIS/MW * 500 MW = </w:t>
      </w:r>
      <w:r w:rsidRPr="00FA14FD">
        <w:rPr>
          <w:rFonts w:ascii="Arial" w:hAnsi="Arial" w:cs="Arial"/>
          <w:sz w:val="18"/>
          <w:szCs w:val="18"/>
        </w:rPr>
        <w:t>_________ (____________)</w:t>
      </w:r>
    </w:p>
    <w:p w:rsidR="003C76B4" w:rsidRPr="00FA14FD" w:rsidRDefault="003C76B4" w:rsidP="003C76B4">
      <w:pPr>
        <w:spacing w:before="120" w:after="120" w:line="240" w:lineRule="auto"/>
        <w:jc w:val="both"/>
        <w:rPr>
          <w:rFonts w:ascii="Arial" w:hAnsi="Arial" w:cs="Arial"/>
          <w:b/>
          <w:sz w:val="18"/>
          <w:szCs w:val="18"/>
          <w:lang w:eastAsia="es-MX"/>
        </w:rPr>
      </w:pPr>
      <w:r w:rsidRPr="00FA14FD">
        <w:rPr>
          <w:rFonts w:ascii="Arial" w:hAnsi="Arial" w:cs="Arial"/>
          <w:sz w:val="18"/>
          <w:szCs w:val="18"/>
          <w:lang w:eastAsia="es-MX"/>
        </w:rPr>
        <w:t xml:space="preserve">Por lo tanto, el monto de la Garantía correspondería a un porcentaje con respecto al monto de la inversión de la Central Eléctrica del </w:t>
      </w:r>
      <w:r w:rsidRPr="00FA14FD">
        <w:rPr>
          <w:rFonts w:ascii="Arial" w:hAnsi="Arial" w:cs="Arial"/>
          <w:sz w:val="18"/>
          <w:szCs w:val="18"/>
        </w:rPr>
        <w:t>_________ (____________)</w:t>
      </w:r>
      <w:r w:rsidRPr="00FA14FD">
        <w:rPr>
          <w:rFonts w:ascii="Arial" w:hAnsi="Arial" w:cs="Arial"/>
          <w:b/>
          <w:sz w:val="18"/>
          <w:szCs w:val="18"/>
          <w:lang w:eastAsia="es-MX"/>
        </w:rPr>
        <w:t>.</w:t>
      </w:r>
    </w:p>
    <w:p w:rsidR="003C76B4" w:rsidRPr="00FA14FD" w:rsidRDefault="003C76B4" w:rsidP="003C76B4">
      <w:pPr>
        <w:pStyle w:val="Ttulo2"/>
        <w:numPr>
          <w:ilvl w:val="1"/>
          <w:numId w:val="0"/>
        </w:numPr>
        <w:spacing w:before="120" w:after="120" w:line="240" w:lineRule="auto"/>
        <w:ind w:left="578" w:hanging="578"/>
        <w:jc w:val="both"/>
        <w:rPr>
          <w:rFonts w:ascii="Arial" w:hAnsi="Arial" w:cs="Arial"/>
          <w:color w:val="auto"/>
          <w:sz w:val="18"/>
          <w:szCs w:val="18"/>
        </w:rPr>
      </w:pPr>
      <w:bookmarkStart w:id="3" w:name="_Toc461646367"/>
      <w:bookmarkStart w:id="4" w:name="_Toc475119304"/>
      <w:bookmarkStart w:id="5" w:name="_Toc475735615"/>
      <w:r w:rsidRPr="00FA14FD">
        <w:rPr>
          <w:rFonts w:ascii="Arial" w:hAnsi="Arial" w:cs="Arial"/>
          <w:color w:val="auto"/>
          <w:sz w:val="18"/>
          <w:szCs w:val="18"/>
        </w:rPr>
        <w:lastRenderedPageBreak/>
        <w:t>Centrales Eléctricas o Centros de Carga Individuales,</w:t>
      </w:r>
      <w:bookmarkEnd w:id="3"/>
      <w:bookmarkEnd w:id="4"/>
      <w:bookmarkEnd w:id="5"/>
      <w:r w:rsidRPr="00FA14FD">
        <w:rPr>
          <w:rFonts w:ascii="Arial" w:hAnsi="Arial" w:cs="Arial"/>
          <w:color w:val="auto"/>
          <w:sz w:val="18"/>
          <w:szCs w:val="18"/>
        </w:rPr>
        <w:t xml:space="preserve"> </w:t>
      </w:r>
    </w:p>
    <w:p w:rsidR="003C76B4" w:rsidRPr="00FA14FD" w:rsidRDefault="003C76B4" w:rsidP="003C76B4">
      <w:pPr>
        <w:spacing w:before="120" w:after="120" w:line="240" w:lineRule="auto"/>
        <w:jc w:val="both"/>
        <w:rPr>
          <w:rFonts w:ascii="Arial" w:hAnsi="Arial" w:cs="Arial"/>
          <w:sz w:val="18"/>
          <w:szCs w:val="18"/>
        </w:rPr>
      </w:pPr>
      <w:r w:rsidRPr="00FA14FD">
        <w:rPr>
          <w:rFonts w:ascii="Arial" w:hAnsi="Arial" w:cs="Arial"/>
          <w:sz w:val="18"/>
          <w:szCs w:val="18"/>
        </w:rPr>
        <w:t>En este caso las obras de Interconexión o Conexión y de Refuerzo en la RNT o en las RGD, corren por cuenta del Solicitante, en consecuencia, el monto de la Garantía Financiera dependerá del monto total de dichas obras por realizar.</w:t>
      </w:r>
    </w:p>
    <w:p w:rsidR="003C76B4" w:rsidRPr="00FA14FD" w:rsidRDefault="003C76B4" w:rsidP="003C76B4">
      <w:pPr>
        <w:spacing w:before="120" w:after="120" w:line="240" w:lineRule="auto"/>
        <w:jc w:val="both"/>
        <w:rPr>
          <w:rFonts w:ascii="Arial" w:hAnsi="Arial" w:cs="Arial"/>
          <w:sz w:val="18"/>
          <w:szCs w:val="18"/>
        </w:rPr>
      </w:pPr>
      <w:r w:rsidRPr="00FA14FD">
        <w:rPr>
          <w:rFonts w:ascii="Arial" w:hAnsi="Arial" w:cs="Arial"/>
          <w:sz w:val="18"/>
          <w:szCs w:val="18"/>
        </w:rPr>
        <w:t>La Garantía Financiera para Centrales Eléctricas o Centros de Carga en la modalidad Individual, se calculará como sigue:</w:t>
      </w:r>
    </w:p>
    <w:p w:rsidR="003C76B4" w:rsidRPr="00FA14FD" w:rsidRDefault="003C76B4" w:rsidP="003C76B4">
      <w:pPr>
        <w:spacing w:before="120" w:after="120" w:line="240" w:lineRule="auto"/>
        <w:jc w:val="both"/>
        <w:rPr>
          <w:rFonts w:ascii="Arial" w:hAnsi="Arial" w:cs="Arial"/>
          <w:sz w:val="18"/>
          <w:szCs w:val="18"/>
        </w:rPr>
      </w:pPr>
      <w:r w:rsidRPr="00FA14FD">
        <w:rPr>
          <w:rFonts w:ascii="Arial" w:hAnsi="Arial" w:cs="Arial"/>
          <w:sz w:val="18"/>
          <w:szCs w:val="18"/>
        </w:rPr>
        <w:t xml:space="preserve">El monto de la Garantía Financiera a presentar por parte del Solicitante, será el que resulte mayor entre: </w:t>
      </w:r>
    </w:p>
    <w:p w:rsidR="003C76B4" w:rsidRPr="00FA14FD" w:rsidRDefault="003C76B4" w:rsidP="003C76B4">
      <w:pPr>
        <w:pStyle w:val="Prrafodelista"/>
        <w:numPr>
          <w:ilvl w:val="0"/>
          <w:numId w:val="3"/>
        </w:numPr>
        <w:spacing w:before="120" w:after="120" w:line="240" w:lineRule="auto"/>
        <w:ind w:left="714" w:hanging="357"/>
        <w:contextualSpacing w:val="0"/>
        <w:jc w:val="both"/>
        <w:rPr>
          <w:rFonts w:ascii="Arial" w:hAnsi="Arial" w:cs="Arial"/>
          <w:sz w:val="18"/>
          <w:szCs w:val="18"/>
        </w:rPr>
      </w:pPr>
      <w:r w:rsidRPr="00FA14FD">
        <w:rPr>
          <w:rFonts w:ascii="Arial" w:hAnsi="Arial" w:cs="Arial"/>
          <w:sz w:val="18"/>
          <w:szCs w:val="18"/>
        </w:rPr>
        <w:t>_________ (____________) UDIS/MW de la Capacidad de una Central Eléctrica      a Interconectar o del monto a incrementar de la Capacidad de una Central Eléctrica existente o de la demanda a Conectar de un nuevo Centro de Carga o del monto a incrementar de la Carga Contratada de un Centro de Carga existente, y,</w:t>
      </w:r>
    </w:p>
    <w:p w:rsidR="003C76B4" w:rsidRPr="00FA14FD" w:rsidRDefault="003C76B4" w:rsidP="003C76B4">
      <w:pPr>
        <w:pStyle w:val="Prrafodelista"/>
        <w:spacing w:before="120" w:after="120" w:line="240" w:lineRule="auto"/>
        <w:ind w:left="714"/>
        <w:contextualSpacing w:val="0"/>
        <w:jc w:val="both"/>
        <w:rPr>
          <w:rFonts w:ascii="Arial" w:hAnsi="Arial" w:cs="Arial"/>
          <w:sz w:val="18"/>
          <w:szCs w:val="18"/>
        </w:rPr>
      </w:pPr>
      <w:r w:rsidRPr="00FA14FD">
        <w:rPr>
          <w:rFonts w:ascii="Arial" w:hAnsi="Arial" w:cs="Arial"/>
          <w:sz w:val="18"/>
          <w:szCs w:val="18"/>
        </w:rPr>
        <w:t>El monto de _________ (____________) UDIS/MW se estima en base a lo siguiente:</w:t>
      </w:r>
    </w:p>
    <w:p w:rsidR="003C76B4" w:rsidRPr="00FA14FD" w:rsidRDefault="003C76B4" w:rsidP="003C76B4">
      <w:pPr>
        <w:pStyle w:val="Prrafodelista"/>
        <w:numPr>
          <w:ilvl w:val="0"/>
          <w:numId w:val="4"/>
        </w:numPr>
        <w:spacing w:before="120" w:after="120" w:line="240" w:lineRule="auto"/>
        <w:contextualSpacing w:val="0"/>
        <w:jc w:val="both"/>
        <w:rPr>
          <w:rFonts w:ascii="Arial" w:hAnsi="Arial" w:cs="Arial"/>
          <w:sz w:val="18"/>
          <w:szCs w:val="18"/>
        </w:rPr>
      </w:pPr>
      <w:r w:rsidRPr="00FA14FD">
        <w:rPr>
          <w:rFonts w:ascii="Arial" w:hAnsi="Arial" w:cs="Arial"/>
          <w:sz w:val="18"/>
          <w:szCs w:val="18"/>
        </w:rPr>
        <w:t>Se tomó como referencia 10 proyectos de Interconexión a los cuales se les realizaron los cálculos de la infraestructura necesaria para la Interconexión y los Refuerzos en la RNT o de las RGD correspondientes en el Área de Control Noreste, que es una de las regiones en donde se presenta una gran cantidad de Solicitudes y con capacidades desde pequeñas Centrales Eléctricas hasta Centrales Eléctricas con grandes capacidades de generación.</w:t>
      </w:r>
    </w:p>
    <w:p w:rsidR="003C76B4" w:rsidRPr="00FA14FD" w:rsidRDefault="003C76B4" w:rsidP="003C76B4">
      <w:pPr>
        <w:pStyle w:val="Prrafodelista"/>
        <w:numPr>
          <w:ilvl w:val="0"/>
          <w:numId w:val="4"/>
        </w:numPr>
        <w:spacing w:before="120" w:after="120" w:line="240" w:lineRule="auto"/>
        <w:contextualSpacing w:val="0"/>
        <w:jc w:val="both"/>
        <w:rPr>
          <w:rFonts w:ascii="Arial" w:hAnsi="Arial" w:cs="Arial"/>
          <w:sz w:val="18"/>
          <w:szCs w:val="18"/>
        </w:rPr>
      </w:pPr>
      <w:r w:rsidRPr="00FA14FD">
        <w:rPr>
          <w:rFonts w:ascii="Arial" w:hAnsi="Arial" w:cs="Arial"/>
          <w:sz w:val="18"/>
          <w:szCs w:val="18"/>
        </w:rPr>
        <w:t>Para cada Proyecto, se realizó la conversión de Pesos a UDIS, tomando en cuenta un Tipo de Cambio de 15 Pesos/Dólar.</w:t>
      </w:r>
    </w:p>
    <w:p w:rsidR="003C76B4" w:rsidRPr="00FA14FD" w:rsidRDefault="003C76B4" w:rsidP="003C76B4">
      <w:pPr>
        <w:pStyle w:val="Prrafodelista"/>
        <w:numPr>
          <w:ilvl w:val="0"/>
          <w:numId w:val="4"/>
        </w:numPr>
        <w:spacing w:before="120" w:after="120" w:line="240" w:lineRule="auto"/>
        <w:contextualSpacing w:val="0"/>
        <w:jc w:val="both"/>
        <w:rPr>
          <w:rFonts w:ascii="Arial" w:hAnsi="Arial" w:cs="Arial"/>
          <w:sz w:val="18"/>
          <w:szCs w:val="18"/>
        </w:rPr>
      </w:pPr>
      <w:r w:rsidRPr="00FA14FD">
        <w:rPr>
          <w:rFonts w:ascii="Arial" w:hAnsi="Arial" w:cs="Arial"/>
          <w:sz w:val="18"/>
          <w:szCs w:val="18"/>
        </w:rPr>
        <w:t>El resultado del inciso anterior, se dividió entre la Capacidad de la Central Eléctrica a Interconectar.</w:t>
      </w:r>
    </w:p>
    <w:p w:rsidR="003C76B4" w:rsidRPr="00FA14FD" w:rsidRDefault="003C76B4" w:rsidP="003C76B4">
      <w:pPr>
        <w:pStyle w:val="Prrafodelista"/>
        <w:numPr>
          <w:ilvl w:val="0"/>
          <w:numId w:val="4"/>
        </w:numPr>
        <w:spacing w:before="120" w:after="120" w:line="240" w:lineRule="auto"/>
        <w:contextualSpacing w:val="0"/>
        <w:jc w:val="both"/>
        <w:rPr>
          <w:rFonts w:ascii="Arial" w:hAnsi="Arial" w:cs="Arial"/>
          <w:sz w:val="18"/>
          <w:szCs w:val="18"/>
        </w:rPr>
      </w:pPr>
      <w:r w:rsidRPr="00FA14FD">
        <w:rPr>
          <w:rFonts w:ascii="Arial" w:hAnsi="Arial" w:cs="Arial"/>
          <w:sz w:val="18"/>
          <w:szCs w:val="18"/>
        </w:rPr>
        <w:t>Se obtiene el promedio de los resultados del inciso anterior.</w:t>
      </w:r>
    </w:p>
    <w:p w:rsidR="003C76B4" w:rsidRPr="00FA14FD" w:rsidRDefault="003C76B4" w:rsidP="003C76B4">
      <w:pPr>
        <w:pStyle w:val="Prrafodelista"/>
        <w:numPr>
          <w:ilvl w:val="0"/>
          <w:numId w:val="4"/>
        </w:numPr>
        <w:spacing w:before="120" w:after="120" w:line="240" w:lineRule="auto"/>
        <w:contextualSpacing w:val="0"/>
        <w:jc w:val="both"/>
        <w:rPr>
          <w:rFonts w:ascii="Arial" w:hAnsi="Arial" w:cs="Arial"/>
          <w:sz w:val="18"/>
          <w:szCs w:val="18"/>
        </w:rPr>
      </w:pPr>
      <w:r w:rsidRPr="00FA14FD">
        <w:rPr>
          <w:rFonts w:ascii="Arial" w:hAnsi="Arial" w:cs="Arial"/>
          <w:sz w:val="18"/>
          <w:szCs w:val="18"/>
        </w:rPr>
        <w:t>Con el fin de evitar números fraccionados, se redondea al valor superior.</w:t>
      </w:r>
    </w:p>
    <w:p w:rsidR="003C76B4" w:rsidRPr="008212FA" w:rsidRDefault="00F810F4" w:rsidP="003C76B4">
      <w:pPr>
        <w:pStyle w:val="Prrafodelista"/>
        <w:spacing w:before="120" w:after="120" w:line="240" w:lineRule="auto"/>
        <w:ind w:left="714"/>
        <w:contextualSpacing w:val="0"/>
        <w:jc w:val="both"/>
        <w:rPr>
          <w:rFonts w:ascii="Arial" w:hAnsi="Arial" w:cs="Arial"/>
          <w:b/>
        </w:rPr>
      </w:pPr>
      <w:r w:rsidRPr="00F810F4">
        <w:rPr>
          <w:noProof/>
          <w:lang w:eastAsia="es-MX"/>
        </w:rPr>
        <w:drawing>
          <wp:anchor distT="0" distB="0" distL="114300" distR="114300" simplePos="0" relativeHeight="251659264" behindDoc="0" locked="0" layoutInCell="1" allowOverlap="1" wp14:anchorId="27D44D42" wp14:editId="16A4AE47">
            <wp:simplePos x="0" y="0"/>
            <wp:positionH relativeFrom="margin">
              <wp:align>center</wp:align>
            </wp:positionH>
            <wp:positionV relativeFrom="paragraph">
              <wp:posOffset>250825</wp:posOffset>
            </wp:positionV>
            <wp:extent cx="5612130" cy="1952625"/>
            <wp:effectExtent l="0" t="0" r="7620" b="952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2130" cy="1952625"/>
                    </a:xfrm>
                    <a:prstGeom prst="rect">
                      <a:avLst/>
                    </a:prstGeom>
                    <a:noFill/>
                    <a:ln>
                      <a:noFill/>
                    </a:ln>
                  </pic:spPr>
                </pic:pic>
              </a:graphicData>
            </a:graphic>
            <wp14:sizeRelH relativeFrom="page">
              <wp14:pctWidth>0</wp14:pctWidth>
            </wp14:sizeRelH>
            <wp14:sizeRelV relativeFrom="page">
              <wp14:pctHeight>0</wp14:pctHeight>
            </wp14:sizeRelV>
          </wp:anchor>
        </w:drawing>
      </w:r>
      <w:r w:rsidR="003C76B4" w:rsidRPr="00FA14FD">
        <w:rPr>
          <w:rFonts w:ascii="Arial" w:hAnsi="Arial" w:cs="Arial"/>
          <w:b/>
          <w:sz w:val="18"/>
          <w:szCs w:val="18"/>
        </w:rPr>
        <w:t>Cálculo del valor de la aportación base de la Garantía Financiera para Solicitudes Individuales:</w:t>
      </w:r>
    </w:p>
    <w:p w:rsidR="003C76B4" w:rsidRPr="008212FA" w:rsidRDefault="003C76B4" w:rsidP="003C76B4">
      <w:pPr>
        <w:pStyle w:val="Prrafodelista"/>
        <w:spacing w:before="120" w:after="120" w:line="240" w:lineRule="auto"/>
        <w:ind w:left="0"/>
        <w:contextualSpacing w:val="0"/>
        <w:jc w:val="center"/>
        <w:rPr>
          <w:rFonts w:ascii="Arial" w:hAnsi="Arial" w:cs="Arial"/>
        </w:rPr>
      </w:pPr>
    </w:p>
    <w:p w:rsidR="003C76B4" w:rsidRPr="00FA14FD" w:rsidRDefault="003C76B4" w:rsidP="003C76B4">
      <w:pPr>
        <w:spacing w:before="120" w:after="120" w:line="240" w:lineRule="auto"/>
        <w:ind w:left="709"/>
        <w:jc w:val="both"/>
        <w:rPr>
          <w:rFonts w:ascii="Arial" w:hAnsi="Arial" w:cs="Arial"/>
          <w:sz w:val="18"/>
          <w:szCs w:val="18"/>
        </w:rPr>
      </w:pPr>
      <w:r w:rsidRPr="00FA14FD">
        <w:rPr>
          <w:rFonts w:ascii="Arial" w:hAnsi="Arial" w:cs="Arial"/>
          <w:sz w:val="18"/>
          <w:szCs w:val="18"/>
        </w:rPr>
        <w:t>El promedio obtenido se redondea a _________ (____________)</w:t>
      </w:r>
      <w:r w:rsidRPr="00FA14FD">
        <w:rPr>
          <w:rFonts w:ascii="Arial" w:hAnsi="Arial" w:cs="Arial"/>
          <w:b/>
          <w:sz w:val="18"/>
          <w:szCs w:val="18"/>
        </w:rPr>
        <w:t xml:space="preserve"> UDIS/ MW</w:t>
      </w:r>
      <w:r w:rsidRPr="00FA14FD">
        <w:rPr>
          <w:rFonts w:ascii="Arial" w:hAnsi="Arial" w:cs="Arial"/>
          <w:sz w:val="18"/>
          <w:szCs w:val="18"/>
        </w:rPr>
        <w:t xml:space="preserve"> para evitar un valor fraccionado. Este es el valor base para la determinación del monto total de la Garantía Financiera.</w:t>
      </w:r>
    </w:p>
    <w:p w:rsidR="003C76B4" w:rsidRPr="00FA14FD" w:rsidRDefault="003C76B4" w:rsidP="003C76B4">
      <w:pPr>
        <w:pStyle w:val="Prrafodelista"/>
        <w:numPr>
          <w:ilvl w:val="0"/>
          <w:numId w:val="3"/>
        </w:numPr>
        <w:spacing w:before="120" w:after="120" w:line="240" w:lineRule="auto"/>
        <w:ind w:left="714" w:hanging="357"/>
        <w:contextualSpacing w:val="0"/>
        <w:jc w:val="both"/>
        <w:rPr>
          <w:rFonts w:ascii="Arial" w:hAnsi="Arial" w:cs="Arial"/>
          <w:sz w:val="18"/>
          <w:szCs w:val="18"/>
        </w:rPr>
      </w:pPr>
      <w:r w:rsidRPr="00FA14FD">
        <w:rPr>
          <w:rFonts w:ascii="Arial" w:hAnsi="Arial" w:cs="Arial"/>
          <w:sz w:val="18"/>
          <w:szCs w:val="18"/>
        </w:rPr>
        <w:t>El monto total estimado de las obras de Interconexión o Conexión, incluyendo los Refuerzos a la RNT o de las RGD, determinados en los Estudios de Conexión e Interconexión.</w:t>
      </w:r>
    </w:p>
    <w:p w:rsidR="003C76B4" w:rsidRPr="00FA14FD" w:rsidRDefault="003C76B4" w:rsidP="00FA14FD">
      <w:pPr>
        <w:spacing w:before="120" w:after="120" w:line="240" w:lineRule="auto"/>
        <w:ind w:left="357"/>
        <w:jc w:val="center"/>
        <w:rPr>
          <w:rFonts w:ascii="Arial" w:hAnsi="Arial" w:cs="Arial"/>
          <w:b/>
          <w:sz w:val="18"/>
          <w:szCs w:val="18"/>
        </w:rPr>
      </w:pPr>
      <w:r w:rsidRPr="00FA14FD">
        <w:rPr>
          <w:rFonts w:ascii="Arial" w:hAnsi="Arial" w:cs="Arial"/>
          <w:b/>
          <w:sz w:val="18"/>
          <w:szCs w:val="18"/>
        </w:rPr>
        <w:t>Ejemplo 1:</w:t>
      </w:r>
    </w:p>
    <w:p w:rsidR="003C76B4" w:rsidRPr="00FA14FD" w:rsidRDefault="003C76B4" w:rsidP="003C76B4">
      <w:pPr>
        <w:spacing w:before="120" w:after="120" w:line="240" w:lineRule="auto"/>
        <w:jc w:val="both"/>
        <w:rPr>
          <w:rFonts w:ascii="Arial" w:hAnsi="Arial" w:cs="Arial"/>
          <w:sz w:val="18"/>
          <w:szCs w:val="18"/>
        </w:rPr>
      </w:pPr>
      <w:r w:rsidRPr="00FA14FD">
        <w:rPr>
          <w:rFonts w:ascii="Arial" w:hAnsi="Arial" w:cs="Arial"/>
          <w:sz w:val="18"/>
          <w:szCs w:val="18"/>
        </w:rPr>
        <w:t>Para el Proyecto número 10       , la capacidad de la Central Eléctrica es de 118.5                            MW y el costo de la obra es de _________ (____________) UDIS; por lo que el monto de la Garantía Financiera se calculará como sigue:</w:t>
      </w:r>
    </w:p>
    <w:p w:rsidR="003C76B4" w:rsidRPr="00FA14FD" w:rsidRDefault="003C76B4" w:rsidP="003C76B4">
      <w:pPr>
        <w:pStyle w:val="Prrafodelista"/>
        <w:numPr>
          <w:ilvl w:val="0"/>
          <w:numId w:val="5"/>
        </w:numPr>
        <w:spacing w:before="120" w:after="120" w:line="240" w:lineRule="auto"/>
        <w:contextualSpacing w:val="0"/>
        <w:jc w:val="both"/>
        <w:rPr>
          <w:rFonts w:ascii="Arial" w:hAnsi="Arial" w:cs="Arial"/>
          <w:sz w:val="18"/>
          <w:szCs w:val="18"/>
        </w:rPr>
      </w:pPr>
      <w:r w:rsidRPr="00FA14FD">
        <w:rPr>
          <w:rFonts w:ascii="Arial" w:hAnsi="Arial" w:cs="Arial"/>
          <w:sz w:val="18"/>
          <w:szCs w:val="18"/>
        </w:rPr>
        <w:t>_________ (____________) UDIS/MW * Capacidad de la Central Eléctrica</w:t>
      </w:r>
    </w:p>
    <w:p w:rsidR="003C76B4" w:rsidRPr="00FA14FD" w:rsidRDefault="003C76B4" w:rsidP="003C76B4">
      <w:pPr>
        <w:pStyle w:val="Prrafodelista"/>
        <w:spacing w:before="120" w:after="120" w:line="240" w:lineRule="auto"/>
        <w:contextualSpacing w:val="0"/>
        <w:jc w:val="both"/>
        <w:rPr>
          <w:rFonts w:ascii="Arial" w:hAnsi="Arial" w:cs="Arial"/>
          <w:sz w:val="18"/>
          <w:szCs w:val="18"/>
        </w:rPr>
      </w:pPr>
      <w:r w:rsidRPr="00FA14FD">
        <w:rPr>
          <w:rFonts w:ascii="Arial" w:hAnsi="Arial" w:cs="Arial"/>
          <w:sz w:val="18"/>
          <w:szCs w:val="18"/>
        </w:rPr>
        <w:t>_________ (____________) UDIS/MW * 118.5 MW = _________ (____________) UDIS</w:t>
      </w:r>
    </w:p>
    <w:p w:rsidR="003C76B4" w:rsidRPr="00FA14FD" w:rsidRDefault="003C76B4" w:rsidP="003C76B4">
      <w:pPr>
        <w:pStyle w:val="Prrafodelista"/>
        <w:numPr>
          <w:ilvl w:val="0"/>
          <w:numId w:val="5"/>
        </w:numPr>
        <w:spacing w:before="120" w:after="120" w:line="240" w:lineRule="auto"/>
        <w:contextualSpacing w:val="0"/>
        <w:jc w:val="both"/>
        <w:rPr>
          <w:rFonts w:ascii="Arial" w:hAnsi="Arial" w:cs="Arial"/>
          <w:sz w:val="18"/>
          <w:szCs w:val="18"/>
        </w:rPr>
      </w:pPr>
      <w:r w:rsidRPr="00FA14FD">
        <w:rPr>
          <w:rFonts w:ascii="Arial" w:hAnsi="Arial" w:cs="Arial"/>
          <w:sz w:val="18"/>
          <w:szCs w:val="18"/>
        </w:rPr>
        <w:t>Costo de la Obra = _________ (____________)</w:t>
      </w:r>
    </w:p>
    <w:p w:rsidR="003C76B4" w:rsidRPr="00FA14FD" w:rsidRDefault="003C76B4" w:rsidP="003C76B4">
      <w:pPr>
        <w:spacing w:before="120" w:after="120" w:line="240" w:lineRule="auto"/>
        <w:jc w:val="both"/>
        <w:rPr>
          <w:rFonts w:ascii="Arial" w:hAnsi="Arial" w:cs="Arial"/>
          <w:b/>
          <w:sz w:val="18"/>
          <w:szCs w:val="18"/>
          <w:u w:val="single"/>
        </w:rPr>
      </w:pPr>
      <w:r w:rsidRPr="00FA14FD">
        <w:rPr>
          <w:rFonts w:ascii="Arial" w:hAnsi="Arial" w:cs="Arial"/>
          <w:sz w:val="18"/>
          <w:szCs w:val="18"/>
        </w:rPr>
        <w:lastRenderedPageBreak/>
        <w:t>El valor mayor es el correspondiente al inciso b) por lo que el Solicitante deberá de entregar una Carta de Crédito por _________ (____________)</w:t>
      </w:r>
    </w:p>
    <w:p w:rsidR="003C76B4" w:rsidRPr="00FA14FD" w:rsidRDefault="003C76B4" w:rsidP="003C76B4">
      <w:pPr>
        <w:spacing w:before="120" w:after="120" w:line="240" w:lineRule="auto"/>
        <w:jc w:val="both"/>
        <w:rPr>
          <w:rFonts w:ascii="Arial" w:hAnsi="Arial" w:cs="Arial"/>
          <w:sz w:val="18"/>
          <w:szCs w:val="18"/>
        </w:rPr>
      </w:pPr>
      <w:r w:rsidRPr="00FA14FD">
        <w:rPr>
          <w:rFonts w:ascii="Arial" w:hAnsi="Arial" w:cs="Arial"/>
          <w:sz w:val="18"/>
          <w:szCs w:val="18"/>
        </w:rPr>
        <w:t xml:space="preserve">Este Proyecto es de una Central Eléctrica Eólica, si el costo de la inversión es de _________ (____________) UDIS/MW, entonces, el monto total de la inversión sería de _________ (____________). </w:t>
      </w:r>
    </w:p>
    <w:p w:rsidR="003C76B4" w:rsidRPr="00FA14FD" w:rsidRDefault="003C76B4" w:rsidP="003C76B4">
      <w:pPr>
        <w:spacing w:before="120" w:after="120" w:line="240" w:lineRule="auto"/>
        <w:jc w:val="both"/>
        <w:rPr>
          <w:rFonts w:ascii="Arial" w:hAnsi="Arial" w:cs="Arial"/>
          <w:sz w:val="18"/>
          <w:szCs w:val="18"/>
        </w:rPr>
      </w:pPr>
      <w:r w:rsidRPr="00FA14FD">
        <w:rPr>
          <w:rFonts w:ascii="Arial" w:hAnsi="Arial" w:cs="Arial"/>
          <w:sz w:val="18"/>
          <w:szCs w:val="18"/>
        </w:rPr>
        <w:t xml:space="preserve">El monto de la Garantía </w:t>
      </w:r>
      <w:proofErr w:type="spellStart"/>
      <w:r w:rsidRPr="00FA14FD">
        <w:rPr>
          <w:rFonts w:ascii="Arial" w:hAnsi="Arial" w:cs="Arial"/>
          <w:sz w:val="18"/>
          <w:szCs w:val="18"/>
        </w:rPr>
        <w:t>Finaiciera</w:t>
      </w:r>
      <w:proofErr w:type="spellEnd"/>
      <w:r w:rsidRPr="00FA14FD">
        <w:rPr>
          <w:rFonts w:ascii="Arial" w:hAnsi="Arial" w:cs="Arial"/>
          <w:sz w:val="18"/>
          <w:szCs w:val="18"/>
        </w:rPr>
        <w:t xml:space="preserve"> representa el 4.56 % (cuatro punto cincuenta y seis por ciento) del importe de la inversión.</w:t>
      </w:r>
    </w:p>
    <w:p w:rsidR="003C76B4" w:rsidRPr="00FA14FD" w:rsidRDefault="003C76B4" w:rsidP="00FA14FD">
      <w:pPr>
        <w:spacing w:before="120" w:after="120" w:line="240" w:lineRule="auto"/>
        <w:ind w:left="708"/>
        <w:jc w:val="center"/>
        <w:rPr>
          <w:rFonts w:ascii="Arial" w:hAnsi="Arial" w:cs="Arial"/>
          <w:b/>
          <w:sz w:val="18"/>
          <w:szCs w:val="18"/>
        </w:rPr>
      </w:pPr>
      <w:r w:rsidRPr="00FA14FD">
        <w:rPr>
          <w:rFonts w:ascii="Arial" w:hAnsi="Arial" w:cs="Arial"/>
          <w:b/>
          <w:sz w:val="18"/>
          <w:szCs w:val="18"/>
        </w:rPr>
        <w:t>Ejemplo 2:</w:t>
      </w:r>
    </w:p>
    <w:p w:rsidR="003C76B4" w:rsidRPr="00FA14FD" w:rsidRDefault="003C76B4" w:rsidP="003C76B4">
      <w:pPr>
        <w:spacing w:before="120" w:after="120" w:line="240" w:lineRule="auto"/>
        <w:jc w:val="both"/>
        <w:rPr>
          <w:rFonts w:ascii="Arial" w:hAnsi="Arial" w:cs="Arial"/>
          <w:sz w:val="18"/>
          <w:szCs w:val="18"/>
        </w:rPr>
      </w:pPr>
      <w:r w:rsidRPr="00FA14FD">
        <w:rPr>
          <w:rFonts w:ascii="Arial" w:hAnsi="Arial" w:cs="Arial"/>
          <w:sz w:val="18"/>
          <w:szCs w:val="18"/>
        </w:rPr>
        <w:t>Para el Proyecto número 3, la capacidad de la Central Eléctrica es de 0.86 MW y el costo de la obra es de _________ (____________); por lo que el monto de la Garantía Financiera se calculará como sigue:</w:t>
      </w:r>
    </w:p>
    <w:p w:rsidR="003C76B4" w:rsidRPr="00FA14FD" w:rsidRDefault="003C76B4" w:rsidP="003C76B4">
      <w:pPr>
        <w:pStyle w:val="Prrafodelista"/>
        <w:numPr>
          <w:ilvl w:val="0"/>
          <w:numId w:val="6"/>
        </w:numPr>
        <w:spacing w:before="120" w:after="120" w:line="240" w:lineRule="auto"/>
        <w:contextualSpacing w:val="0"/>
        <w:jc w:val="both"/>
        <w:rPr>
          <w:rFonts w:ascii="Arial" w:hAnsi="Arial" w:cs="Arial"/>
          <w:sz w:val="18"/>
          <w:szCs w:val="18"/>
        </w:rPr>
      </w:pPr>
      <w:r w:rsidRPr="00FA14FD">
        <w:rPr>
          <w:rFonts w:ascii="Arial" w:hAnsi="Arial" w:cs="Arial"/>
          <w:sz w:val="18"/>
          <w:szCs w:val="18"/>
        </w:rPr>
        <w:t>_________ (____________) UDIS/MW * Capacidad de la Central Eléctrica</w:t>
      </w:r>
    </w:p>
    <w:p w:rsidR="003C76B4" w:rsidRPr="00FA14FD" w:rsidRDefault="003C76B4" w:rsidP="003C76B4">
      <w:pPr>
        <w:pStyle w:val="Prrafodelista"/>
        <w:spacing w:before="120" w:after="120" w:line="240" w:lineRule="auto"/>
        <w:contextualSpacing w:val="0"/>
        <w:jc w:val="both"/>
        <w:rPr>
          <w:rFonts w:ascii="Arial" w:hAnsi="Arial" w:cs="Arial"/>
          <w:sz w:val="18"/>
          <w:szCs w:val="18"/>
        </w:rPr>
      </w:pPr>
      <w:r w:rsidRPr="00FA14FD">
        <w:rPr>
          <w:rFonts w:ascii="Arial" w:hAnsi="Arial" w:cs="Arial"/>
          <w:sz w:val="18"/>
          <w:szCs w:val="18"/>
        </w:rPr>
        <w:t>_________ (____________) UDIS/MW * 0.86 MW = _________ (____________)</w:t>
      </w:r>
    </w:p>
    <w:p w:rsidR="003C76B4" w:rsidRPr="00FA14FD" w:rsidRDefault="003C76B4" w:rsidP="003C76B4">
      <w:pPr>
        <w:pStyle w:val="Prrafodelista"/>
        <w:numPr>
          <w:ilvl w:val="0"/>
          <w:numId w:val="6"/>
        </w:numPr>
        <w:spacing w:before="120" w:after="120" w:line="240" w:lineRule="auto"/>
        <w:contextualSpacing w:val="0"/>
        <w:jc w:val="both"/>
        <w:rPr>
          <w:rFonts w:ascii="Arial" w:hAnsi="Arial" w:cs="Arial"/>
          <w:sz w:val="18"/>
          <w:szCs w:val="18"/>
        </w:rPr>
      </w:pPr>
      <w:r w:rsidRPr="00FA14FD">
        <w:rPr>
          <w:rFonts w:ascii="Arial" w:hAnsi="Arial" w:cs="Arial"/>
          <w:sz w:val="18"/>
          <w:szCs w:val="18"/>
        </w:rPr>
        <w:t>Costo de la Obra = _________ (____________)</w:t>
      </w:r>
    </w:p>
    <w:p w:rsidR="003C76B4" w:rsidRPr="00FA14FD" w:rsidRDefault="003C76B4" w:rsidP="003C76B4">
      <w:pPr>
        <w:spacing w:before="120" w:after="120" w:line="240" w:lineRule="auto"/>
        <w:jc w:val="both"/>
        <w:rPr>
          <w:rFonts w:ascii="Arial" w:hAnsi="Arial" w:cs="Arial"/>
          <w:b/>
          <w:sz w:val="18"/>
          <w:szCs w:val="18"/>
          <w:u w:val="single"/>
        </w:rPr>
      </w:pPr>
      <w:r w:rsidRPr="00FA14FD">
        <w:rPr>
          <w:rFonts w:ascii="Arial" w:hAnsi="Arial" w:cs="Arial"/>
          <w:sz w:val="18"/>
          <w:szCs w:val="18"/>
        </w:rPr>
        <w:t>El valor mayor es el correspondiente al inciso b) por lo que el Solicitante deberá de entregar una Carta de Crédito por _________ (____________)</w:t>
      </w:r>
      <w:r w:rsidRPr="00FA14FD">
        <w:rPr>
          <w:rFonts w:ascii="Arial" w:hAnsi="Arial" w:cs="Arial"/>
          <w:b/>
          <w:sz w:val="18"/>
          <w:szCs w:val="18"/>
          <w:u w:val="single"/>
        </w:rPr>
        <w:t>.</w:t>
      </w:r>
    </w:p>
    <w:p w:rsidR="003C76B4" w:rsidRPr="00FA14FD" w:rsidRDefault="003C76B4" w:rsidP="003C76B4">
      <w:pPr>
        <w:spacing w:before="120" w:after="120" w:line="240" w:lineRule="auto"/>
        <w:jc w:val="both"/>
        <w:rPr>
          <w:rFonts w:ascii="Arial" w:hAnsi="Arial" w:cs="Arial"/>
          <w:sz w:val="18"/>
          <w:szCs w:val="18"/>
        </w:rPr>
      </w:pPr>
      <w:r w:rsidRPr="00FA14FD">
        <w:rPr>
          <w:rFonts w:ascii="Arial" w:hAnsi="Arial" w:cs="Arial"/>
          <w:sz w:val="18"/>
          <w:szCs w:val="18"/>
        </w:rPr>
        <w:t>Los montos de las Garantías Financieras, se actualizarán anualmente a solicitud del CENACE y con autorización de la CRE.</w:t>
      </w:r>
    </w:p>
    <w:p w:rsidR="003C76B4" w:rsidRPr="00FA14FD" w:rsidRDefault="003C76B4" w:rsidP="00FA14FD">
      <w:pPr>
        <w:pStyle w:val="Prrafodelista"/>
        <w:numPr>
          <w:ilvl w:val="0"/>
          <w:numId w:val="8"/>
        </w:numPr>
        <w:spacing w:before="120" w:after="120" w:line="240" w:lineRule="auto"/>
        <w:jc w:val="both"/>
        <w:rPr>
          <w:rFonts w:ascii="Arial" w:hAnsi="Arial" w:cs="Arial"/>
          <w:b/>
          <w:sz w:val="18"/>
          <w:szCs w:val="18"/>
        </w:rPr>
      </w:pPr>
      <w:r w:rsidRPr="00FA14FD">
        <w:rPr>
          <w:rFonts w:ascii="Arial" w:hAnsi="Arial" w:cs="Arial"/>
          <w:b/>
          <w:sz w:val="18"/>
          <w:szCs w:val="18"/>
        </w:rPr>
        <w:t>Vigencia de las Garantías Financieras.</w:t>
      </w:r>
    </w:p>
    <w:p w:rsidR="003C76B4" w:rsidRPr="00FA14FD" w:rsidRDefault="003C76B4" w:rsidP="003C76B4">
      <w:pPr>
        <w:spacing w:before="120" w:after="120" w:line="240" w:lineRule="auto"/>
        <w:jc w:val="both"/>
        <w:rPr>
          <w:rFonts w:ascii="Arial" w:hAnsi="Arial" w:cs="Arial"/>
          <w:sz w:val="18"/>
          <w:szCs w:val="18"/>
        </w:rPr>
      </w:pPr>
      <w:r w:rsidRPr="00FA14FD">
        <w:rPr>
          <w:rFonts w:ascii="Arial" w:hAnsi="Arial" w:cs="Arial"/>
          <w:sz w:val="18"/>
          <w:szCs w:val="18"/>
        </w:rPr>
        <w:t xml:space="preserve">El Solicitante dejará de tener la obligación de mantener vigentes las Garantías Financieras cuando ocurra alguno de los siguientes supuestos: </w:t>
      </w:r>
    </w:p>
    <w:p w:rsidR="003C76B4" w:rsidRPr="00FA14FD" w:rsidRDefault="003C76B4" w:rsidP="003C76B4">
      <w:pPr>
        <w:pStyle w:val="Prrafodelista"/>
        <w:numPr>
          <w:ilvl w:val="0"/>
          <w:numId w:val="7"/>
        </w:numPr>
        <w:spacing w:before="120" w:after="120" w:line="240" w:lineRule="auto"/>
        <w:jc w:val="both"/>
        <w:rPr>
          <w:rFonts w:ascii="Arial" w:hAnsi="Arial" w:cs="Arial"/>
          <w:sz w:val="18"/>
          <w:szCs w:val="18"/>
        </w:rPr>
      </w:pPr>
      <w:r w:rsidRPr="00FA14FD">
        <w:rPr>
          <w:rFonts w:ascii="Arial" w:hAnsi="Arial" w:cs="Arial"/>
          <w:sz w:val="18"/>
          <w:szCs w:val="18"/>
        </w:rPr>
        <w:t xml:space="preserve">A partir de la fecha en que el Solicitante inicie la operación de la Central Eléctrica o del Centro de Carga, según sea el caso, en términos de lo establecido en el Título de Permiso emitido por la CRE y hayan transcurridos 60 días naturales; </w:t>
      </w:r>
    </w:p>
    <w:p w:rsidR="003C76B4" w:rsidRPr="00FA14FD" w:rsidRDefault="003C76B4" w:rsidP="003C76B4">
      <w:pPr>
        <w:pStyle w:val="Prrafodelista"/>
        <w:numPr>
          <w:ilvl w:val="0"/>
          <w:numId w:val="7"/>
        </w:numPr>
        <w:spacing w:before="120" w:after="120" w:line="240" w:lineRule="auto"/>
        <w:jc w:val="both"/>
        <w:rPr>
          <w:rFonts w:ascii="Arial" w:hAnsi="Arial" w:cs="Arial"/>
          <w:sz w:val="18"/>
          <w:szCs w:val="18"/>
        </w:rPr>
      </w:pPr>
      <w:r w:rsidRPr="00FA14FD">
        <w:rPr>
          <w:rFonts w:ascii="Arial" w:hAnsi="Arial" w:cs="Arial"/>
          <w:sz w:val="18"/>
          <w:szCs w:val="18"/>
        </w:rPr>
        <w:t>Hayan transcurrido 60 (sesenta) días posteriores a la Solicitud de cancelación de la o las Garantía Financieras, en términos de lo previsto en el apartado relativo a la “Cancelación de la Garantía Financiera” y sin que el CENACE se haya manifestado sobre el particular.</w:t>
      </w:r>
    </w:p>
    <w:p w:rsidR="003C76B4" w:rsidRPr="00FA14FD" w:rsidRDefault="003C76B4" w:rsidP="003C76B4">
      <w:pPr>
        <w:spacing w:before="120" w:after="120" w:line="240" w:lineRule="auto"/>
        <w:jc w:val="both"/>
        <w:rPr>
          <w:rFonts w:ascii="Arial" w:hAnsi="Arial" w:cs="Arial"/>
          <w:sz w:val="18"/>
          <w:szCs w:val="18"/>
        </w:rPr>
      </w:pPr>
      <w:r w:rsidRPr="00FA14FD">
        <w:rPr>
          <w:rFonts w:ascii="Arial" w:hAnsi="Arial" w:cs="Arial"/>
          <w:sz w:val="18"/>
          <w:szCs w:val="18"/>
        </w:rPr>
        <w:t>En caso de que el CENACE otorgue una ampliación del plazo para la suscripción del Contrato, en términos del numeral 14.1 de este Manual, el Solicitante deberá gestionar la ampliación de la vigencia de la Carta de Crédito de tal forma que la Garantía Financiera se mantenga siempre vigente.</w:t>
      </w:r>
    </w:p>
    <w:p w:rsidR="003C76B4" w:rsidRPr="00FA14FD" w:rsidRDefault="003C76B4" w:rsidP="003C76B4">
      <w:pPr>
        <w:spacing w:before="120" w:after="120" w:line="240" w:lineRule="auto"/>
        <w:jc w:val="both"/>
        <w:rPr>
          <w:rFonts w:ascii="Arial" w:hAnsi="Arial" w:cs="Arial"/>
          <w:sz w:val="18"/>
          <w:szCs w:val="18"/>
        </w:rPr>
      </w:pPr>
      <w:r w:rsidRPr="00FA14FD">
        <w:rPr>
          <w:rFonts w:ascii="Arial" w:hAnsi="Arial" w:cs="Arial"/>
          <w:sz w:val="18"/>
          <w:szCs w:val="18"/>
        </w:rPr>
        <w:t>El Solicitante deberá contar siempre, y hasta en tanto no cumpla con sus obligaciones frente al CENACE, con Garantías Financieras vigentes y suficientes.</w:t>
      </w:r>
    </w:p>
    <w:p w:rsidR="003C76B4" w:rsidRPr="00FA14FD" w:rsidRDefault="003C76B4" w:rsidP="003C76B4">
      <w:pPr>
        <w:spacing w:before="120" w:after="120" w:line="240" w:lineRule="auto"/>
        <w:ind w:left="1416" w:hanging="1416"/>
        <w:jc w:val="both"/>
        <w:rPr>
          <w:rFonts w:ascii="Arial" w:hAnsi="Arial" w:cs="Arial"/>
          <w:sz w:val="18"/>
          <w:szCs w:val="18"/>
        </w:rPr>
      </w:pPr>
      <w:r w:rsidRPr="00FA14FD">
        <w:rPr>
          <w:rFonts w:ascii="Arial" w:hAnsi="Arial" w:cs="Arial"/>
          <w:sz w:val="18"/>
          <w:szCs w:val="18"/>
        </w:rPr>
        <w:t>Cancelación de la Garantía Financiera</w:t>
      </w:r>
    </w:p>
    <w:p w:rsidR="003C76B4" w:rsidRPr="00FA14FD" w:rsidRDefault="003C76B4" w:rsidP="003C76B4">
      <w:pPr>
        <w:spacing w:before="120" w:after="120" w:line="240" w:lineRule="auto"/>
        <w:jc w:val="both"/>
        <w:rPr>
          <w:rFonts w:ascii="Arial" w:hAnsi="Arial" w:cs="Arial"/>
          <w:sz w:val="18"/>
          <w:szCs w:val="18"/>
        </w:rPr>
      </w:pPr>
      <w:r w:rsidRPr="00FA14FD">
        <w:rPr>
          <w:rFonts w:ascii="Arial" w:hAnsi="Arial" w:cs="Arial"/>
          <w:sz w:val="18"/>
          <w:szCs w:val="18"/>
        </w:rPr>
        <w:t>Para Proyectos individuales, la Garantía Financiera podrá cancelarse si ocurre cualquiera de los siguientes supuestos:</w:t>
      </w:r>
    </w:p>
    <w:p w:rsidR="003C76B4" w:rsidRPr="00FA14FD" w:rsidRDefault="003C76B4" w:rsidP="003C76B4">
      <w:pPr>
        <w:spacing w:before="120" w:after="120" w:line="240" w:lineRule="auto"/>
        <w:jc w:val="both"/>
        <w:rPr>
          <w:rFonts w:ascii="Arial" w:hAnsi="Arial" w:cs="Arial"/>
          <w:sz w:val="18"/>
          <w:szCs w:val="18"/>
        </w:rPr>
      </w:pPr>
      <w:r w:rsidRPr="00FA14FD">
        <w:rPr>
          <w:rFonts w:ascii="Arial" w:hAnsi="Arial" w:cs="Arial"/>
          <w:sz w:val="18"/>
          <w:szCs w:val="18"/>
        </w:rPr>
        <w:t>(a)</w:t>
      </w:r>
      <w:r w:rsidRPr="00FA14FD">
        <w:rPr>
          <w:rFonts w:ascii="Arial" w:hAnsi="Arial" w:cs="Arial"/>
          <w:sz w:val="18"/>
          <w:szCs w:val="18"/>
        </w:rPr>
        <w:tab/>
        <w:t xml:space="preserve">En caso de que el Solicitante solicite al CENACE la cancelación del Proyecto de Interconexión o Conexión dentro del plazo de 25 Días Hábiles contados a partir de la fecha en que el CENACE le haya entregado el Estudio de Instalaciones, éste podrá solicitar al CENACE la instrucción de cancelación de la o las Garantías Financieras. </w:t>
      </w:r>
    </w:p>
    <w:p w:rsidR="00600D33" w:rsidRPr="00DC5B07" w:rsidRDefault="003C76B4" w:rsidP="00DC5B07">
      <w:pPr>
        <w:spacing w:before="120" w:after="120" w:line="240" w:lineRule="auto"/>
        <w:jc w:val="both"/>
        <w:rPr>
          <w:rFonts w:ascii="Arial" w:hAnsi="Arial" w:cs="Arial"/>
          <w:sz w:val="18"/>
          <w:szCs w:val="18"/>
        </w:rPr>
      </w:pPr>
      <w:r w:rsidRPr="00FA14FD" w:rsidDel="00462F62">
        <w:rPr>
          <w:rFonts w:ascii="Arial" w:hAnsi="Arial" w:cs="Arial"/>
          <w:sz w:val="18"/>
          <w:szCs w:val="18"/>
        </w:rPr>
        <w:t xml:space="preserve"> </w:t>
      </w:r>
      <w:r w:rsidRPr="00FA14FD">
        <w:rPr>
          <w:rFonts w:ascii="Arial" w:hAnsi="Arial" w:cs="Arial"/>
          <w:sz w:val="18"/>
          <w:szCs w:val="18"/>
        </w:rPr>
        <w:t>(b)</w:t>
      </w:r>
      <w:r w:rsidRPr="00FA14FD">
        <w:rPr>
          <w:rFonts w:ascii="Arial" w:hAnsi="Arial" w:cs="Arial"/>
          <w:sz w:val="18"/>
          <w:szCs w:val="18"/>
        </w:rPr>
        <w:tab/>
        <w:t>Una vez que el Solicitante inicie operaciones, en tiempo y forma, podrá solicitar al CENACE la instrucción de cancelación de la o las Carta(s) de Crédito.</w:t>
      </w:r>
    </w:p>
    <w:sectPr w:rsidR="00600D33" w:rsidRPr="00DC5B0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C17A9"/>
    <w:multiLevelType w:val="hybridMultilevel"/>
    <w:tmpl w:val="DAF6CFF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97D32A1"/>
    <w:multiLevelType w:val="hybridMultilevel"/>
    <w:tmpl w:val="30AC7BDE"/>
    <w:lvl w:ilvl="0" w:tplc="080A001B">
      <w:start w:val="1"/>
      <w:numFmt w:val="lowerRoman"/>
      <w:lvlText w:val="%1."/>
      <w:lvlJc w:val="right"/>
      <w:pPr>
        <w:ind w:left="1434" w:hanging="360"/>
      </w:pPr>
    </w:lvl>
    <w:lvl w:ilvl="1" w:tplc="080A0019" w:tentative="1">
      <w:start w:val="1"/>
      <w:numFmt w:val="lowerLetter"/>
      <w:lvlText w:val="%2."/>
      <w:lvlJc w:val="left"/>
      <w:pPr>
        <w:ind w:left="2154" w:hanging="360"/>
      </w:pPr>
    </w:lvl>
    <w:lvl w:ilvl="2" w:tplc="080A001B" w:tentative="1">
      <w:start w:val="1"/>
      <w:numFmt w:val="lowerRoman"/>
      <w:lvlText w:val="%3."/>
      <w:lvlJc w:val="right"/>
      <w:pPr>
        <w:ind w:left="2874" w:hanging="180"/>
      </w:pPr>
    </w:lvl>
    <w:lvl w:ilvl="3" w:tplc="080A000F" w:tentative="1">
      <w:start w:val="1"/>
      <w:numFmt w:val="decimal"/>
      <w:lvlText w:val="%4."/>
      <w:lvlJc w:val="left"/>
      <w:pPr>
        <w:ind w:left="3594" w:hanging="360"/>
      </w:pPr>
    </w:lvl>
    <w:lvl w:ilvl="4" w:tplc="080A0019" w:tentative="1">
      <w:start w:val="1"/>
      <w:numFmt w:val="lowerLetter"/>
      <w:lvlText w:val="%5."/>
      <w:lvlJc w:val="left"/>
      <w:pPr>
        <w:ind w:left="4314" w:hanging="360"/>
      </w:pPr>
    </w:lvl>
    <w:lvl w:ilvl="5" w:tplc="080A001B" w:tentative="1">
      <w:start w:val="1"/>
      <w:numFmt w:val="lowerRoman"/>
      <w:lvlText w:val="%6."/>
      <w:lvlJc w:val="right"/>
      <w:pPr>
        <w:ind w:left="5034" w:hanging="180"/>
      </w:pPr>
    </w:lvl>
    <w:lvl w:ilvl="6" w:tplc="080A000F" w:tentative="1">
      <w:start w:val="1"/>
      <w:numFmt w:val="decimal"/>
      <w:lvlText w:val="%7."/>
      <w:lvlJc w:val="left"/>
      <w:pPr>
        <w:ind w:left="5754" w:hanging="360"/>
      </w:pPr>
    </w:lvl>
    <w:lvl w:ilvl="7" w:tplc="080A0019" w:tentative="1">
      <w:start w:val="1"/>
      <w:numFmt w:val="lowerLetter"/>
      <w:lvlText w:val="%8."/>
      <w:lvlJc w:val="left"/>
      <w:pPr>
        <w:ind w:left="6474" w:hanging="360"/>
      </w:pPr>
    </w:lvl>
    <w:lvl w:ilvl="8" w:tplc="080A001B" w:tentative="1">
      <w:start w:val="1"/>
      <w:numFmt w:val="lowerRoman"/>
      <w:lvlText w:val="%9."/>
      <w:lvlJc w:val="right"/>
      <w:pPr>
        <w:ind w:left="7194" w:hanging="180"/>
      </w:pPr>
    </w:lvl>
  </w:abstractNum>
  <w:abstractNum w:abstractNumId="2">
    <w:nsid w:val="19BE3A73"/>
    <w:multiLevelType w:val="hybridMultilevel"/>
    <w:tmpl w:val="FD0A0AE2"/>
    <w:lvl w:ilvl="0" w:tplc="F55C9082">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19D53639"/>
    <w:multiLevelType w:val="hybridMultilevel"/>
    <w:tmpl w:val="D38052B0"/>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4">
    <w:nsid w:val="24127072"/>
    <w:multiLevelType w:val="hybridMultilevel"/>
    <w:tmpl w:val="210E6834"/>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5">
    <w:nsid w:val="24D95494"/>
    <w:multiLevelType w:val="hybridMultilevel"/>
    <w:tmpl w:val="D03C14B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25E6C60"/>
    <w:multiLevelType w:val="hybridMultilevel"/>
    <w:tmpl w:val="D1B0E6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5AEE1792"/>
    <w:multiLevelType w:val="hybridMultilevel"/>
    <w:tmpl w:val="9E8A90C2"/>
    <w:lvl w:ilvl="0" w:tplc="0B6C91A2">
      <w:start w:val="1"/>
      <w:numFmt w:val="decimal"/>
      <w:lvlText w:val="V.%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5D2C3C28"/>
    <w:multiLevelType w:val="hybridMultilevel"/>
    <w:tmpl w:val="39A00EA4"/>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9">
    <w:nsid w:val="68B70859"/>
    <w:multiLevelType w:val="hybridMultilevel"/>
    <w:tmpl w:val="DAF6CFF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6EB42D28"/>
    <w:multiLevelType w:val="hybridMultilevel"/>
    <w:tmpl w:val="40E85774"/>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1">
    <w:nsid w:val="7CBC16C2"/>
    <w:multiLevelType w:val="hybridMultilevel"/>
    <w:tmpl w:val="FF3A127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1"/>
  </w:num>
  <w:num w:numId="2">
    <w:abstractNumId w:val="6"/>
  </w:num>
  <w:num w:numId="3">
    <w:abstractNumId w:val="5"/>
  </w:num>
  <w:num w:numId="4">
    <w:abstractNumId w:val="1"/>
  </w:num>
  <w:num w:numId="5">
    <w:abstractNumId w:val="0"/>
  </w:num>
  <w:num w:numId="6">
    <w:abstractNumId w:val="9"/>
  </w:num>
  <w:num w:numId="7">
    <w:abstractNumId w:val="2"/>
  </w:num>
  <w:num w:numId="8">
    <w:abstractNumId w:val="7"/>
  </w:num>
  <w:num w:numId="9">
    <w:abstractNumId w:val="8"/>
  </w:num>
  <w:num w:numId="10">
    <w:abstractNumId w:val="10"/>
  </w:num>
  <w:num w:numId="11">
    <w:abstractNumId w:val="4"/>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6B4"/>
    <w:rsid w:val="003C76B4"/>
    <w:rsid w:val="00406F64"/>
    <w:rsid w:val="00497A39"/>
    <w:rsid w:val="00532B05"/>
    <w:rsid w:val="005F3376"/>
    <w:rsid w:val="00600D33"/>
    <w:rsid w:val="006277C5"/>
    <w:rsid w:val="00912E9B"/>
    <w:rsid w:val="0096683D"/>
    <w:rsid w:val="00B058DB"/>
    <w:rsid w:val="00DC5B07"/>
    <w:rsid w:val="00ED496F"/>
    <w:rsid w:val="00F810F4"/>
    <w:rsid w:val="00FA14F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6B4"/>
  </w:style>
  <w:style w:type="paragraph" w:styleId="Ttulo1">
    <w:name w:val="heading 1"/>
    <w:basedOn w:val="Normal"/>
    <w:next w:val="Normal"/>
    <w:link w:val="Ttulo1Car"/>
    <w:qFormat/>
    <w:rsid w:val="003C76B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aliases w:val="h2,Heading 2 Char Char"/>
    <w:basedOn w:val="Normal"/>
    <w:next w:val="Normal"/>
    <w:link w:val="Ttulo2Car"/>
    <w:unhideWhenUsed/>
    <w:qFormat/>
    <w:rsid w:val="003C76B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3C76B4"/>
    <w:rPr>
      <w:rFonts w:asciiTheme="majorHAnsi" w:eastAsiaTheme="majorEastAsia" w:hAnsiTheme="majorHAnsi" w:cstheme="majorBidi"/>
      <w:color w:val="2E74B5" w:themeColor="accent1" w:themeShade="BF"/>
      <w:sz w:val="32"/>
      <w:szCs w:val="32"/>
    </w:rPr>
  </w:style>
  <w:style w:type="character" w:customStyle="1" w:styleId="Ttulo2Car">
    <w:name w:val="Título 2 Car"/>
    <w:aliases w:val="h2 Car,Heading 2 Char Char Car"/>
    <w:basedOn w:val="Fuentedeprrafopredeter"/>
    <w:link w:val="Ttulo2"/>
    <w:rsid w:val="003C76B4"/>
    <w:rPr>
      <w:rFonts w:asciiTheme="majorHAnsi" w:eastAsiaTheme="majorEastAsia" w:hAnsiTheme="majorHAnsi" w:cstheme="majorBidi"/>
      <w:color w:val="2E74B5" w:themeColor="accent1" w:themeShade="BF"/>
      <w:sz w:val="26"/>
      <w:szCs w:val="26"/>
    </w:rPr>
  </w:style>
  <w:style w:type="paragraph" w:styleId="Prrafodelista">
    <w:name w:val="List Paragraph"/>
    <w:basedOn w:val="Normal"/>
    <w:uiPriority w:val="1"/>
    <w:qFormat/>
    <w:rsid w:val="003C76B4"/>
    <w:pPr>
      <w:ind w:left="720"/>
      <w:contextualSpacing/>
    </w:pPr>
  </w:style>
  <w:style w:type="paragraph" w:styleId="Textodeglobo">
    <w:name w:val="Balloon Text"/>
    <w:basedOn w:val="Normal"/>
    <w:link w:val="TextodegloboCar"/>
    <w:uiPriority w:val="99"/>
    <w:semiHidden/>
    <w:unhideWhenUsed/>
    <w:rsid w:val="00912E9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12E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6B4"/>
  </w:style>
  <w:style w:type="paragraph" w:styleId="Ttulo1">
    <w:name w:val="heading 1"/>
    <w:basedOn w:val="Normal"/>
    <w:next w:val="Normal"/>
    <w:link w:val="Ttulo1Car"/>
    <w:qFormat/>
    <w:rsid w:val="003C76B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aliases w:val="h2,Heading 2 Char Char"/>
    <w:basedOn w:val="Normal"/>
    <w:next w:val="Normal"/>
    <w:link w:val="Ttulo2Car"/>
    <w:unhideWhenUsed/>
    <w:qFormat/>
    <w:rsid w:val="003C76B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3C76B4"/>
    <w:rPr>
      <w:rFonts w:asciiTheme="majorHAnsi" w:eastAsiaTheme="majorEastAsia" w:hAnsiTheme="majorHAnsi" w:cstheme="majorBidi"/>
      <w:color w:val="2E74B5" w:themeColor="accent1" w:themeShade="BF"/>
      <w:sz w:val="32"/>
      <w:szCs w:val="32"/>
    </w:rPr>
  </w:style>
  <w:style w:type="character" w:customStyle="1" w:styleId="Ttulo2Car">
    <w:name w:val="Título 2 Car"/>
    <w:aliases w:val="h2 Car,Heading 2 Char Char Car"/>
    <w:basedOn w:val="Fuentedeprrafopredeter"/>
    <w:link w:val="Ttulo2"/>
    <w:rsid w:val="003C76B4"/>
    <w:rPr>
      <w:rFonts w:asciiTheme="majorHAnsi" w:eastAsiaTheme="majorEastAsia" w:hAnsiTheme="majorHAnsi" w:cstheme="majorBidi"/>
      <w:color w:val="2E74B5" w:themeColor="accent1" w:themeShade="BF"/>
      <w:sz w:val="26"/>
      <w:szCs w:val="26"/>
    </w:rPr>
  </w:style>
  <w:style w:type="paragraph" w:styleId="Prrafodelista">
    <w:name w:val="List Paragraph"/>
    <w:basedOn w:val="Normal"/>
    <w:uiPriority w:val="1"/>
    <w:qFormat/>
    <w:rsid w:val="003C76B4"/>
    <w:pPr>
      <w:ind w:left="720"/>
      <w:contextualSpacing/>
    </w:pPr>
  </w:style>
  <w:style w:type="paragraph" w:styleId="Textodeglobo">
    <w:name w:val="Balloon Text"/>
    <w:basedOn w:val="Normal"/>
    <w:link w:val="TextodegloboCar"/>
    <w:uiPriority w:val="99"/>
    <w:semiHidden/>
    <w:unhideWhenUsed/>
    <w:rsid w:val="00912E9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12E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251775">
      <w:bodyDiv w:val="1"/>
      <w:marLeft w:val="0"/>
      <w:marRight w:val="0"/>
      <w:marTop w:val="0"/>
      <w:marBottom w:val="0"/>
      <w:divBdr>
        <w:top w:val="none" w:sz="0" w:space="0" w:color="auto"/>
        <w:left w:val="none" w:sz="0" w:space="0" w:color="auto"/>
        <w:bottom w:val="none" w:sz="0" w:space="0" w:color="auto"/>
        <w:right w:val="none" w:sz="0" w:space="0" w:color="auto"/>
      </w:divBdr>
    </w:div>
    <w:div w:id="2109883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1488</Words>
  <Characters>8189</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9658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Ramirez Elizondo</dc:creator>
  <cp:lastModifiedBy>Jose Israel Muciño Jara</cp:lastModifiedBy>
  <cp:revision>5</cp:revision>
  <dcterms:created xsi:type="dcterms:W3CDTF">2017-05-12T17:26:00Z</dcterms:created>
  <dcterms:modified xsi:type="dcterms:W3CDTF">2017-05-12T19:49:00Z</dcterms:modified>
</cp:coreProperties>
</file>