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8015D" w14:textId="77777777" w:rsidR="007A0ADC" w:rsidRDefault="007A0ADC" w:rsidP="007A0ADC">
      <w:pPr>
        <w:pStyle w:val="Portadaarriba"/>
        <w:spacing w:before="0" w:after="0"/>
        <w:rPr>
          <w:rFonts w:ascii="Arial" w:hAnsi="Arial"/>
          <w:sz w:val="40"/>
          <w:szCs w:val="40"/>
        </w:rPr>
      </w:pPr>
      <w:bookmarkStart w:id="0" w:name="_Toc419708991"/>
      <w:bookmarkStart w:id="1" w:name="_Toc444242310"/>
      <w:bookmarkStart w:id="2" w:name="_GoBack"/>
      <w:bookmarkEnd w:id="2"/>
      <w:r>
        <w:rPr>
          <w:rFonts w:ascii="Arial" w:hAnsi="Arial"/>
          <w:sz w:val="40"/>
          <w:szCs w:val="40"/>
        </w:rPr>
        <w:t xml:space="preserve">ANEXO </w:t>
      </w:r>
      <w:r w:rsidR="002915AF">
        <w:rPr>
          <w:rFonts w:ascii="Arial" w:hAnsi="Arial"/>
          <w:sz w:val="40"/>
          <w:szCs w:val="40"/>
        </w:rPr>
        <w:t>8</w:t>
      </w:r>
    </w:p>
    <w:p w14:paraId="718915D6" w14:textId="77777777" w:rsidR="007A0ADC" w:rsidRDefault="007A0ADC" w:rsidP="007A0ADC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14:paraId="3317B6C4" w14:textId="3A8C3878" w:rsidR="007A0ADC" w:rsidRPr="005662BC" w:rsidRDefault="00920BD2" w:rsidP="007A0ADC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Sistema para enviar al CENACE los registros de medición para liquidaciones</w:t>
      </w:r>
    </w:p>
    <w:p w14:paraId="76EFB5E9" w14:textId="77777777" w:rsidR="007A0ADC" w:rsidRPr="004D476A" w:rsidRDefault="007A0ADC" w:rsidP="007A0ADC">
      <w:pPr>
        <w:pStyle w:val="Seccin"/>
      </w:pPr>
      <w:bookmarkStart w:id="3" w:name="_Toc475979549"/>
      <w:r w:rsidRPr="004D476A">
        <w:t>Introducción</w:t>
      </w:r>
      <w:bookmarkEnd w:id="0"/>
      <w:bookmarkEnd w:id="1"/>
      <w:bookmarkEnd w:id="3"/>
    </w:p>
    <w:p w14:paraId="6522A540" w14:textId="77777777" w:rsidR="007A0ADC" w:rsidRDefault="007A0ADC" w:rsidP="007A0ADC">
      <w:pPr>
        <w:pStyle w:val="Numeral"/>
      </w:pPr>
      <w:r>
        <w:t xml:space="preserve">En el presente anexo se define </w:t>
      </w:r>
      <w:r w:rsidR="00F26260">
        <w:t>el procedimiento para que el Transportista o Distribuidor envíen al CENACE los</w:t>
      </w:r>
      <w:r w:rsidR="007923FD">
        <w:t xml:space="preserve"> registros de medición para liquidaciones</w:t>
      </w:r>
      <w:r>
        <w:t>.</w:t>
      </w:r>
    </w:p>
    <w:p w14:paraId="7D2A80F5" w14:textId="03706059" w:rsidR="007A0ADC" w:rsidRPr="004D476A" w:rsidRDefault="007A0ADC" w:rsidP="007A0ADC">
      <w:pPr>
        <w:pStyle w:val="Numeral"/>
      </w:pPr>
      <w:r>
        <w:t xml:space="preserve">Para efectos del presente anexo, </w:t>
      </w:r>
      <w:r w:rsidR="001B4B43">
        <w:t>resultan aplicables</w:t>
      </w:r>
      <w:r>
        <w:t xml:space="preserve"> las definiciones del </w:t>
      </w:r>
      <w:r w:rsidR="001B4B43">
        <w:t>numeral 1.4 del Manual.</w:t>
      </w:r>
    </w:p>
    <w:p w14:paraId="62A228BE" w14:textId="77777777" w:rsidR="007A0ADC" w:rsidRDefault="007923FD" w:rsidP="007A0ADC">
      <w:pPr>
        <w:pStyle w:val="Seccin"/>
      </w:pPr>
      <w:bookmarkStart w:id="4" w:name="_Toc475979550"/>
      <w:r>
        <w:t>Sistema de Recepción de Datos de Energía para Liquidación</w:t>
      </w:r>
      <w:bookmarkEnd w:id="4"/>
    </w:p>
    <w:p w14:paraId="0201F70A" w14:textId="77777777" w:rsidR="007F5E69" w:rsidRDefault="00F26260" w:rsidP="007923FD">
      <w:pPr>
        <w:pStyle w:val="Numeral"/>
      </w:pPr>
      <w:r>
        <w:t>El Sistema de Recepción de Datos de Energía para Liquidación (</w:t>
      </w:r>
      <w:proofErr w:type="spellStart"/>
      <w:r w:rsidR="007F5E69">
        <w:t>SiRDELi</w:t>
      </w:r>
      <w:proofErr w:type="spellEnd"/>
      <w:r>
        <w:t>)</w:t>
      </w:r>
      <w:r w:rsidR="007F5E69">
        <w:t xml:space="preserve"> es el </w:t>
      </w:r>
      <w:r w:rsidR="00581C16">
        <w:t>s</w:t>
      </w:r>
      <w:r w:rsidR="007923FD" w:rsidRPr="007923FD">
        <w:t xml:space="preserve">ervicio </w:t>
      </w:r>
      <w:r w:rsidR="00581C16">
        <w:t>w</w:t>
      </w:r>
      <w:r w:rsidR="007923FD" w:rsidRPr="007923FD">
        <w:t xml:space="preserve">eb </w:t>
      </w:r>
      <w:r>
        <w:t xml:space="preserve">que el CENACE pone </w:t>
      </w:r>
      <w:r w:rsidR="007923FD" w:rsidRPr="007923FD">
        <w:t xml:space="preserve">a disposición </w:t>
      </w:r>
      <w:r w:rsidR="00341ACA">
        <w:t>de</w:t>
      </w:r>
      <w:r>
        <w:t>l Transportista y Distribuidor</w:t>
      </w:r>
      <w:r w:rsidR="00341ACA">
        <w:t xml:space="preserve"> </w:t>
      </w:r>
      <w:r w:rsidR="00E71603">
        <w:t>para que envíen los registros de medición para liquidaciones señalados en el Manual de Medición para Liquidaciones</w:t>
      </w:r>
      <w:r w:rsidR="007923FD" w:rsidRPr="007923FD">
        <w:t>.</w:t>
      </w:r>
    </w:p>
    <w:p w14:paraId="206EF155" w14:textId="77777777" w:rsidR="007F5E69" w:rsidRDefault="007F5E69" w:rsidP="007F5E69">
      <w:pPr>
        <w:pStyle w:val="Seccin"/>
      </w:pPr>
      <w:bookmarkStart w:id="5" w:name="_Toc475979551"/>
      <w:r>
        <w:t>Lineamientos generales</w:t>
      </w:r>
      <w:bookmarkEnd w:id="5"/>
    </w:p>
    <w:p w14:paraId="5B2D1449" w14:textId="77777777" w:rsidR="00E71603" w:rsidRDefault="00E71603" w:rsidP="00E71603">
      <w:pPr>
        <w:pStyle w:val="Numeral"/>
      </w:pPr>
      <w:r>
        <w:t xml:space="preserve">Los medidores de los que el Transportista o Distribuidor tomen los registros de medición para liquidaciones </w:t>
      </w:r>
      <w:r w:rsidR="00092E20">
        <w:t>deberán haber sido</w:t>
      </w:r>
      <w:r>
        <w:t xml:space="preserve"> previamente registrados en </w:t>
      </w:r>
      <w:r w:rsidR="00092E20">
        <w:t xml:space="preserve">el </w:t>
      </w:r>
      <w:r w:rsidR="007A1FA6">
        <w:t>Sistema de Información de Mercado</w:t>
      </w:r>
      <w:r w:rsidR="001B4B43">
        <w:t xml:space="preserve">, conforme a lo señalado en el </w:t>
      </w:r>
      <w:r w:rsidR="00092E20">
        <w:t>Manual de Registro y Acreditación de Participantes del Mercado</w:t>
      </w:r>
      <w:r>
        <w:t>.</w:t>
      </w:r>
    </w:p>
    <w:p w14:paraId="6B700D28" w14:textId="1E34F99F" w:rsidR="007F5E69" w:rsidRDefault="00BD1561" w:rsidP="007F5E69">
      <w:pPr>
        <w:pStyle w:val="Numeral"/>
      </w:pPr>
      <w:r>
        <w:t xml:space="preserve">El </w:t>
      </w:r>
      <w:r w:rsidR="00E71603">
        <w:t>Transportista o Distribuidor</w:t>
      </w:r>
      <w:r>
        <w:t xml:space="preserve"> </w:t>
      </w:r>
      <w:r w:rsidR="007F5E69">
        <w:t xml:space="preserve">debe implementar una aplicación cliente que consuma el </w:t>
      </w:r>
      <w:proofErr w:type="spellStart"/>
      <w:r w:rsidR="001B4B43">
        <w:t>SiRDELi</w:t>
      </w:r>
      <w:proofErr w:type="spellEnd"/>
      <w:r w:rsidR="001B4B43">
        <w:t>, para lo cual debe</w:t>
      </w:r>
      <w:r w:rsidR="001B4B43" w:rsidDel="001B4B43">
        <w:t xml:space="preserve"> </w:t>
      </w:r>
      <w:r w:rsidR="007F5E69">
        <w:t>utiliza</w:t>
      </w:r>
      <w:r w:rsidR="001B4B43">
        <w:t>r</w:t>
      </w:r>
      <w:r w:rsidR="007F5E69">
        <w:t xml:space="preserve"> una tecnología compatible</w:t>
      </w:r>
      <w:r w:rsidR="00395E26">
        <w:t xml:space="preserve"> con </w:t>
      </w:r>
      <w:r w:rsidR="001B4B43">
        <w:t>dicho sistema</w:t>
      </w:r>
      <w:r w:rsidR="007F5E69">
        <w:t>.</w:t>
      </w:r>
    </w:p>
    <w:p w14:paraId="44B5B32A" w14:textId="7D6FC63A" w:rsidR="00DA464C" w:rsidRDefault="006E06D7">
      <w:pPr>
        <w:pStyle w:val="Numeral"/>
      </w:pPr>
      <w:r>
        <w:t xml:space="preserve">El </w:t>
      </w:r>
      <w:r w:rsidR="007F5E69">
        <w:t>CENACE proporcionará la</w:t>
      </w:r>
      <w:r w:rsidR="005263BD">
        <w:t xml:space="preserve"> información necesaria (direc</w:t>
      </w:r>
      <w:r w:rsidR="007F5E69">
        <w:t xml:space="preserve">ciones </w:t>
      </w:r>
      <w:r w:rsidR="007A1FA6">
        <w:t>URL</w:t>
      </w:r>
      <w:r w:rsidR="005263BD">
        <w:t>, información de autenticación</w:t>
      </w:r>
      <w:r w:rsidR="001B4B43">
        <w:t xml:space="preserve"> y</w:t>
      </w:r>
      <w:r w:rsidR="005263BD">
        <w:t xml:space="preserve"> protocolo, entre otros) para que el Transportista y el Distribuidor puedan utilizar el </w:t>
      </w:r>
      <w:proofErr w:type="spellStart"/>
      <w:r w:rsidR="005263BD">
        <w:t>Si</w:t>
      </w:r>
      <w:r w:rsidR="001B4B43">
        <w:t>R</w:t>
      </w:r>
      <w:r w:rsidR="005263BD">
        <w:t>DEL</w:t>
      </w:r>
      <w:r w:rsidR="001B4B43">
        <w:t>i</w:t>
      </w:r>
      <w:proofErr w:type="spellEnd"/>
      <w:r w:rsidR="001B4B43">
        <w:t>.</w:t>
      </w:r>
    </w:p>
    <w:p w14:paraId="09A72103" w14:textId="77777777" w:rsidR="00DA464C" w:rsidRDefault="005263BD" w:rsidP="00DA464C">
      <w:pPr>
        <w:pStyle w:val="Numeral"/>
      </w:pPr>
      <w:r>
        <w:t>El Transportista y el Distribuidor</w:t>
      </w:r>
      <w:r w:rsidR="00DA464C">
        <w:t xml:space="preserve"> deberá</w:t>
      </w:r>
      <w:r>
        <w:t>n</w:t>
      </w:r>
      <w:r w:rsidR="00DA464C">
        <w:t xml:space="preserve"> enviar los registros de medición para liquidaciones en</w:t>
      </w:r>
      <w:r>
        <w:t xml:space="preserve"> los</w:t>
      </w:r>
      <w:r w:rsidR="00DA464C">
        <w:t xml:space="preserve"> plazo</w:t>
      </w:r>
      <w:r>
        <w:t>s</w:t>
      </w:r>
      <w:r w:rsidR="00DA464C">
        <w:t xml:space="preserve"> establecido</w:t>
      </w:r>
      <w:r>
        <w:t>s</w:t>
      </w:r>
      <w:r w:rsidR="00DA464C">
        <w:t xml:space="preserve"> en el Manual de Medición para Liquidaciones.</w:t>
      </w:r>
    </w:p>
    <w:p w14:paraId="6BAA1FE4" w14:textId="4414917C" w:rsidR="0077724D" w:rsidRDefault="0077724D" w:rsidP="0077724D">
      <w:pPr>
        <w:pStyle w:val="Seccin"/>
      </w:pPr>
      <w:bookmarkStart w:id="6" w:name="_Toc475979552"/>
      <w:r>
        <w:t>Descripción de la</w:t>
      </w:r>
      <w:r w:rsidR="00F95F42">
        <w:t>s</w:t>
      </w:r>
      <w:r>
        <w:t xml:space="preserve"> funcionalidad</w:t>
      </w:r>
      <w:r w:rsidR="00F95F42">
        <w:t>es</w:t>
      </w:r>
      <w:r w:rsidR="00DA464C">
        <w:t xml:space="preserve"> del </w:t>
      </w:r>
      <w:proofErr w:type="spellStart"/>
      <w:r w:rsidR="001B4B43">
        <w:t>SiRDELi</w:t>
      </w:r>
      <w:bookmarkEnd w:id="6"/>
      <w:proofErr w:type="spellEnd"/>
    </w:p>
    <w:p w14:paraId="789669AE" w14:textId="77777777" w:rsidR="0077724D" w:rsidRDefault="0077724D" w:rsidP="0077724D">
      <w:pPr>
        <w:pStyle w:val="Numeral"/>
      </w:pPr>
      <w:r>
        <w:t>Agregar mediciones</w:t>
      </w:r>
    </w:p>
    <w:p w14:paraId="3D614228" w14:textId="77777777" w:rsidR="0077724D" w:rsidRDefault="0077724D" w:rsidP="0077724D">
      <w:pPr>
        <w:pStyle w:val="Inciso"/>
      </w:pPr>
      <w:r>
        <w:t xml:space="preserve">Método: </w:t>
      </w:r>
      <w:proofErr w:type="spellStart"/>
      <w:r>
        <w:t>agregaMediciones</w:t>
      </w:r>
      <w:proofErr w:type="spellEnd"/>
    </w:p>
    <w:p w14:paraId="5733BB71" w14:textId="0E227144" w:rsidR="0077724D" w:rsidRDefault="00F95F42" w:rsidP="0077724D">
      <w:pPr>
        <w:pStyle w:val="Inciso"/>
      </w:pPr>
      <w:r>
        <w:t xml:space="preserve">Descripción: </w:t>
      </w:r>
      <w:r w:rsidR="0077724D">
        <w:t xml:space="preserve">El método recibe una lista de </w:t>
      </w:r>
      <w:r w:rsidR="003C31B8">
        <w:t>Medidores Multifunción para Liquidaciones</w:t>
      </w:r>
      <w:r w:rsidR="001B4B43">
        <w:t>,</w:t>
      </w:r>
      <w:r w:rsidR="0077724D">
        <w:t xml:space="preserve"> donde cada </w:t>
      </w:r>
      <w:r w:rsidR="003C31B8">
        <w:t xml:space="preserve">Medidor Multifunción para Liquidaciones </w:t>
      </w:r>
      <w:r w:rsidR="0077724D">
        <w:t xml:space="preserve">debe contener </w:t>
      </w:r>
      <w:r w:rsidR="001B4B43">
        <w:t>la</w:t>
      </w:r>
      <w:r w:rsidR="0077724D">
        <w:t xml:space="preserve"> clave </w:t>
      </w:r>
      <w:r w:rsidR="001B4B43">
        <w:t xml:space="preserve">que le corresponda </w:t>
      </w:r>
      <w:r w:rsidR="0077724D">
        <w:t>y un arreglo de sus claves de medición; a</w:t>
      </w:r>
      <w:r w:rsidR="001B4B43">
        <w:t xml:space="preserve">simismo, </w:t>
      </w:r>
      <w:r w:rsidR="0077724D">
        <w:t xml:space="preserve">debe contener un arreglo con los valores </w:t>
      </w:r>
      <w:proofErr w:type="spellStart"/>
      <w:r w:rsidR="0077724D">
        <w:t>cincominutales</w:t>
      </w:r>
      <w:proofErr w:type="spellEnd"/>
      <w:r w:rsidR="0077724D">
        <w:t xml:space="preserve"> u horarios (hasta seis decimales por valor) y la fecha de operación con UTC (</w:t>
      </w:r>
      <w:proofErr w:type="spellStart"/>
      <w:r w:rsidR="0077724D">
        <w:t>DateTimeOffset</w:t>
      </w:r>
      <w:proofErr w:type="spellEnd"/>
      <w:r w:rsidR="0077724D">
        <w:t xml:space="preserve">) de acuerdo a la ubicación geográfica del </w:t>
      </w:r>
      <w:r w:rsidR="003C31B8">
        <w:t>Medidor Multifunción para Liquidaciones</w:t>
      </w:r>
      <w:r w:rsidR="0077724D">
        <w:t>.</w:t>
      </w:r>
    </w:p>
    <w:p w14:paraId="76AABFC1" w14:textId="30E49EA8" w:rsidR="0077724D" w:rsidRDefault="004B1302" w:rsidP="0077724D">
      <w:pPr>
        <w:pStyle w:val="Inciso"/>
      </w:pPr>
      <w:r>
        <w:t xml:space="preserve">Resultado: </w:t>
      </w:r>
      <w:r w:rsidR="0077724D">
        <w:t xml:space="preserve">El método intentará insertar todos los valores de medición recibidos y regresará un “ticket” </w:t>
      </w:r>
      <w:r w:rsidR="003C31B8">
        <w:t xml:space="preserve">en el que </w:t>
      </w:r>
      <w:r w:rsidR="0077724D">
        <w:t>indica</w:t>
      </w:r>
      <w:r w:rsidR="003C31B8">
        <w:t xml:space="preserve">rá </w:t>
      </w:r>
      <w:r w:rsidR="0077724D">
        <w:t>el resultado</w:t>
      </w:r>
      <w:r w:rsidR="003C31B8">
        <w:t>, que puede ser</w:t>
      </w:r>
      <w:r w:rsidR="0077724D">
        <w:t>:</w:t>
      </w:r>
    </w:p>
    <w:p w14:paraId="0F8B49ED" w14:textId="77777777" w:rsidR="0077724D" w:rsidRDefault="0077724D" w:rsidP="0077724D">
      <w:pPr>
        <w:pStyle w:val="Subinciso"/>
      </w:pPr>
      <w:r>
        <w:lastRenderedPageBreak/>
        <w:t>Operación exitosa: número de valores insertados.</w:t>
      </w:r>
    </w:p>
    <w:p w14:paraId="6D9FB17B" w14:textId="77777777" w:rsidR="0077724D" w:rsidRDefault="0077724D" w:rsidP="0077724D">
      <w:pPr>
        <w:pStyle w:val="Subinciso"/>
      </w:pPr>
      <w:r>
        <w:t>Error: descripción de la causa de la falla de inserción.</w:t>
      </w:r>
    </w:p>
    <w:p w14:paraId="2268B837" w14:textId="77777777" w:rsidR="0077724D" w:rsidRDefault="0077724D" w:rsidP="0077724D">
      <w:pPr>
        <w:pStyle w:val="Numeral"/>
      </w:pPr>
      <w:r>
        <w:t>Obtener mediciones faltantes de 35 días atrás</w:t>
      </w:r>
    </w:p>
    <w:p w14:paraId="266FEBA0" w14:textId="77777777" w:rsidR="0077724D" w:rsidRDefault="0077724D" w:rsidP="0077724D">
      <w:pPr>
        <w:pStyle w:val="Inciso"/>
      </w:pPr>
      <w:r>
        <w:t xml:space="preserve">Método: ObtenerFaltantes35DiasAtras. </w:t>
      </w:r>
    </w:p>
    <w:p w14:paraId="2EAF2434" w14:textId="0B7B3F28" w:rsidR="0077724D" w:rsidRDefault="004B1302" w:rsidP="0077724D">
      <w:pPr>
        <w:pStyle w:val="Inciso"/>
      </w:pPr>
      <w:r>
        <w:t xml:space="preserve">Descripción: </w:t>
      </w:r>
      <w:r w:rsidR="0077724D">
        <w:t xml:space="preserve">El método recibe como parámetro opcional un entero, que corresponde a la Frecuencia de Recepción del </w:t>
      </w:r>
      <w:r w:rsidR="003C31B8">
        <w:t xml:space="preserve">Medidor Multifunción para Liquidaciones. Para el parámetro opcional, </w:t>
      </w:r>
      <w:r w:rsidR="0077724D">
        <w:t>el número 1</w:t>
      </w:r>
      <w:r w:rsidR="003C31B8">
        <w:t xml:space="preserve"> </w:t>
      </w:r>
      <w:r w:rsidR="0077724D">
        <w:t>correspond</w:t>
      </w:r>
      <w:r w:rsidR="003C31B8">
        <w:t xml:space="preserve">e </w:t>
      </w:r>
      <w:r w:rsidR="0077724D">
        <w:t>a una frecuencia diaria de env</w:t>
      </w:r>
      <w:r>
        <w:t>ío</w:t>
      </w:r>
      <w:r w:rsidR="003C31B8">
        <w:t xml:space="preserve"> y e</w:t>
      </w:r>
      <w:r w:rsidR="0077724D">
        <w:t>l número 2</w:t>
      </w:r>
      <w:r w:rsidR="003C31B8">
        <w:t xml:space="preserve"> </w:t>
      </w:r>
      <w:r w:rsidR="0077724D">
        <w:t>corresponde a una frecuencia mensual de env</w:t>
      </w:r>
      <w:r>
        <w:t>ío</w:t>
      </w:r>
      <w:r w:rsidR="0077724D">
        <w:t>.</w:t>
      </w:r>
      <w:r w:rsidR="003C31B8">
        <w:t xml:space="preserve"> Por def</w:t>
      </w:r>
      <w:r w:rsidR="007A1FA6">
        <w:t>ecto</w:t>
      </w:r>
      <w:r w:rsidR="003C31B8">
        <w:t xml:space="preserve">, </w:t>
      </w:r>
      <w:r w:rsidR="007A1FA6">
        <w:t>para este parámetro se</w:t>
      </w:r>
      <w:r w:rsidR="003C31B8">
        <w:t xml:space="preserve"> asigna el número 1.</w:t>
      </w:r>
    </w:p>
    <w:p w14:paraId="100CB8E2" w14:textId="2215C8E8" w:rsidR="0077724D" w:rsidRDefault="004B1302" w:rsidP="0077724D">
      <w:pPr>
        <w:pStyle w:val="Inciso"/>
      </w:pPr>
      <w:r>
        <w:t xml:space="preserve">Resultado: </w:t>
      </w:r>
      <w:r w:rsidR="0077724D">
        <w:t xml:space="preserve">Regresa una lista de </w:t>
      </w:r>
      <w:r w:rsidR="00C96C9F">
        <w:t>Medidores Multifunción para Liquidaciones.</w:t>
      </w:r>
      <w:r w:rsidR="0077724D">
        <w:t xml:space="preserve"> </w:t>
      </w:r>
      <w:r w:rsidR="00C96C9F">
        <w:t>C</w:t>
      </w:r>
      <w:r w:rsidR="0077724D">
        <w:t xml:space="preserve">ada </w:t>
      </w:r>
      <w:r w:rsidR="003C31B8">
        <w:t xml:space="preserve">Medidor Multifunción para Liquidaciones </w:t>
      </w:r>
      <w:r w:rsidR="0077724D">
        <w:t xml:space="preserve">contendrá su clave y un arreglo de </w:t>
      </w:r>
      <w:r w:rsidR="00C96C9F">
        <w:t>f</w:t>
      </w:r>
      <w:r w:rsidR="0077724D">
        <w:t xml:space="preserve">echas, </w:t>
      </w:r>
      <w:r w:rsidR="00C96C9F">
        <w:t>que</w:t>
      </w:r>
      <w:r w:rsidR="0077724D">
        <w:t xml:space="preserve"> corresponderán a las fechas en las que alguna de las variables de medición no se recibi</w:t>
      </w:r>
      <w:r w:rsidR="005C01C3">
        <w:t>ó</w:t>
      </w:r>
      <w:r w:rsidR="0077724D">
        <w:t xml:space="preserve"> completa </w:t>
      </w:r>
      <w:r w:rsidR="00C96C9F">
        <w:t xml:space="preserve">durante los </w:t>
      </w:r>
      <w:r w:rsidR="0077724D">
        <w:t>35 días anteriores a la fecha de la consulta.</w:t>
      </w:r>
    </w:p>
    <w:p w14:paraId="531D6F59" w14:textId="38C920E2" w:rsidR="0077724D" w:rsidRDefault="0077724D" w:rsidP="0077724D">
      <w:pPr>
        <w:pStyle w:val="Numeral"/>
      </w:pPr>
      <w:r>
        <w:t xml:space="preserve">Obtener catálogo de </w:t>
      </w:r>
      <w:r w:rsidR="003C31B8">
        <w:t xml:space="preserve">Medidores Multifunción para Liquidaciones </w:t>
      </w:r>
      <w:r>
        <w:t>activos con sus variables de medición activas o inactivas</w:t>
      </w:r>
    </w:p>
    <w:p w14:paraId="2B457A7B" w14:textId="77777777" w:rsidR="0077724D" w:rsidRDefault="0077724D" w:rsidP="0077724D">
      <w:pPr>
        <w:pStyle w:val="Inciso"/>
      </w:pPr>
      <w:r>
        <w:t xml:space="preserve">Método: </w:t>
      </w:r>
      <w:proofErr w:type="spellStart"/>
      <w:r>
        <w:t>obtenerCatalogoMedidores</w:t>
      </w:r>
      <w:proofErr w:type="spellEnd"/>
      <w:r>
        <w:t>.</w:t>
      </w:r>
    </w:p>
    <w:p w14:paraId="23788FA9" w14:textId="77777777" w:rsidR="005C01C3" w:rsidRDefault="005C01C3" w:rsidP="0077724D">
      <w:pPr>
        <w:pStyle w:val="Inciso"/>
      </w:pPr>
      <w:r>
        <w:t>Descripción: Se invoca sin parámetros.</w:t>
      </w:r>
    </w:p>
    <w:p w14:paraId="632C0B1A" w14:textId="5A0EEA8E" w:rsidR="0077724D" w:rsidRDefault="004B1302" w:rsidP="0077724D">
      <w:pPr>
        <w:pStyle w:val="Inciso"/>
      </w:pPr>
      <w:r>
        <w:t xml:space="preserve">Resultado: </w:t>
      </w:r>
      <w:r w:rsidR="0077724D">
        <w:t xml:space="preserve">Regresa una lista de </w:t>
      </w:r>
      <w:r w:rsidR="003C31B8">
        <w:t xml:space="preserve">Medidores Multifunción para Liquidaciones </w:t>
      </w:r>
      <w:r w:rsidR="0077724D">
        <w:t xml:space="preserve">activos a la fecha de consulta del usuario que está consumiendo el servicio. </w:t>
      </w:r>
      <w:r w:rsidR="005C01C3">
        <w:t>Para c</w:t>
      </w:r>
      <w:r w:rsidR="0077724D">
        <w:t xml:space="preserve">ada </w:t>
      </w:r>
      <w:r w:rsidR="003C31B8">
        <w:t xml:space="preserve">Medidor Multifunción para Liquidaciones </w:t>
      </w:r>
      <w:r w:rsidR="005C01C3">
        <w:t>se incluye</w:t>
      </w:r>
      <w:r w:rsidR="0077724D">
        <w:t xml:space="preserve"> un arreglo de sus variables de </w:t>
      </w:r>
      <w:proofErr w:type="gramStart"/>
      <w:r w:rsidR="0077724D">
        <w:t>medición activas o inactivas</w:t>
      </w:r>
      <w:proofErr w:type="gramEnd"/>
      <w:r w:rsidR="0077724D">
        <w:t>.</w:t>
      </w:r>
    </w:p>
    <w:p w14:paraId="2BB2D3F1" w14:textId="09491D6F" w:rsidR="0077724D" w:rsidRDefault="0077724D" w:rsidP="0077724D">
      <w:pPr>
        <w:pStyle w:val="Numeral"/>
      </w:pPr>
      <w:r>
        <w:t xml:space="preserve">Obtener catálogo de </w:t>
      </w:r>
      <w:r w:rsidR="003C31B8">
        <w:t xml:space="preserve">Medidores Multifunción para Liquidaciones </w:t>
      </w:r>
      <w:r>
        <w:t>activos con sus variables de medición activas</w:t>
      </w:r>
    </w:p>
    <w:p w14:paraId="067982D2" w14:textId="77777777" w:rsidR="0077724D" w:rsidRDefault="0077724D" w:rsidP="0077724D">
      <w:pPr>
        <w:pStyle w:val="Inciso"/>
      </w:pPr>
      <w:r>
        <w:t xml:space="preserve">Método: </w:t>
      </w:r>
      <w:proofErr w:type="spellStart"/>
      <w:r>
        <w:t>ObtenerCatalogoMedidoresActivosVariablesActivas</w:t>
      </w:r>
      <w:proofErr w:type="spellEnd"/>
      <w:r>
        <w:t xml:space="preserve">. </w:t>
      </w:r>
    </w:p>
    <w:p w14:paraId="7E9C6397" w14:textId="77777777" w:rsidR="005C01C3" w:rsidRDefault="005C01C3" w:rsidP="005C01C3">
      <w:pPr>
        <w:pStyle w:val="Inciso"/>
      </w:pPr>
      <w:r>
        <w:t>Descripción: Se invoca sin parámetros.</w:t>
      </w:r>
    </w:p>
    <w:p w14:paraId="50A585A0" w14:textId="38BABF34" w:rsidR="0077724D" w:rsidRDefault="005C01C3" w:rsidP="0077724D">
      <w:pPr>
        <w:pStyle w:val="Inciso"/>
      </w:pPr>
      <w:r>
        <w:t xml:space="preserve">Resultado: </w:t>
      </w:r>
      <w:r w:rsidR="0077724D">
        <w:t xml:space="preserve">Regresa una lista de </w:t>
      </w:r>
      <w:r w:rsidR="003C31B8">
        <w:t xml:space="preserve">Medidores Multifunción para Liquidaciones </w:t>
      </w:r>
      <w:r w:rsidR="0077724D">
        <w:t xml:space="preserve">activos a la fecha de consulta del usuario que está consumiendo el servicio. </w:t>
      </w:r>
      <w:r>
        <w:t>Para c</w:t>
      </w:r>
      <w:r w:rsidR="0077724D">
        <w:t xml:space="preserve">ada </w:t>
      </w:r>
      <w:r w:rsidR="003C31B8">
        <w:t xml:space="preserve">Medidor Multifunción para Liquidaciones </w:t>
      </w:r>
      <w:r>
        <w:t xml:space="preserve">se incluye </w:t>
      </w:r>
      <w:r w:rsidR="0077724D">
        <w:t>un arreglo de sus variables de medición activas.</w:t>
      </w:r>
    </w:p>
    <w:p w14:paraId="79042902" w14:textId="6F460481" w:rsidR="0077724D" w:rsidRDefault="0077724D" w:rsidP="0077724D">
      <w:pPr>
        <w:pStyle w:val="Numeral"/>
      </w:pPr>
      <w:r>
        <w:t xml:space="preserve">Obtener catálogo de </w:t>
      </w:r>
      <w:r w:rsidR="003C31B8">
        <w:t>Medidores Multifunción para Liquidaciones</w:t>
      </w:r>
      <w:r>
        <w:t xml:space="preserve"> activos o inactivos con sus variables de medición activas  o inactivas</w:t>
      </w:r>
    </w:p>
    <w:p w14:paraId="2FA6226C" w14:textId="77777777" w:rsidR="0077724D" w:rsidRDefault="0077724D" w:rsidP="0077724D">
      <w:pPr>
        <w:pStyle w:val="Inciso"/>
      </w:pPr>
      <w:r>
        <w:t xml:space="preserve">Método: </w:t>
      </w:r>
      <w:proofErr w:type="spellStart"/>
      <w:r>
        <w:t>ObtenerCatalogoMedidoresCompleto</w:t>
      </w:r>
      <w:proofErr w:type="spellEnd"/>
      <w:r>
        <w:t>.</w:t>
      </w:r>
    </w:p>
    <w:p w14:paraId="138343E8" w14:textId="77777777" w:rsidR="005C01C3" w:rsidRDefault="005C01C3" w:rsidP="005C01C3">
      <w:pPr>
        <w:pStyle w:val="Inciso"/>
      </w:pPr>
      <w:r>
        <w:t>Descripción: Se invoca sin parámetros.</w:t>
      </w:r>
    </w:p>
    <w:p w14:paraId="2DD0D760" w14:textId="4D36E479" w:rsidR="0077724D" w:rsidRDefault="005C01C3" w:rsidP="007A1FA6">
      <w:pPr>
        <w:pStyle w:val="Inciso"/>
      </w:pPr>
      <w:r>
        <w:t xml:space="preserve">Resultado: </w:t>
      </w:r>
      <w:r w:rsidR="0077724D">
        <w:t xml:space="preserve">Regresa una lista de </w:t>
      </w:r>
      <w:r w:rsidR="003C31B8">
        <w:t>Medidores Multifunción para Liquidaciones</w:t>
      </w:r>
      <w:r w:rsidR="0077724D">
        <w:t xml:space="preserve"> activos o inactivos del usuario que está consumiendo el servicio. </w:t>
      </w:r>
      <w:r>
        <w:t>Para c</w:t>
      </w:r>
      <w:r w:rsidR="0077724D">
        <w:t xml:space="preserve">ada </w:t>
      </w:r>
      <w:r w:rsidR="003C31B8">
        <w:t xml:space="preserve">Medidor Multifunción para Liquidaciones </w:t>
      </w:r>
      <w:r>
        <w:t xml:space="preserve">se incluye </w:t>
      </w:r>
      <w:r w:rsidR="0077724D">
        <w:t xml:space="preserve">un arreglo de sus variables de </w:t>
      </w:r>
      <w:proofErr w:type="gramStart"/>
      <w:r w:rsidR="0077724D">
        <w:t>medición activas o inactivas</w:t>
      </w:r>
      <w:proofErr w:type="gramEnd"/>
      <w:r w:rsidR="0077724D">
        <w:t>.</w:t>
      </w:r>
    </w:p>
    <w:sectPr w:rsidR="0077724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6A6E4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6916B" w14:textId="77777777" w:rsidR="000F3199" w:rsidRDefault="000F3199" w:rsidP="007A0ADC">
      <w:pPr>
        <w:spacing w:after="0" w:line="240" w:lineRule="auto"/>
      </w:pPr>
      <w:r>
        <w:separator/>
      </w:r>
    </w:p>
  </w:endnote>
  <w:endnote w:type="continuationSeparator" w:id="0">
    <w:p w14:paraId="2F8A6D31" w14:textId="77777777" w:rsidR="000F3199" w:rsidRDefault="000F3199" w:rsidP="007A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sz w:val="20"/>
        <w:szCs w:val="20"/>
      </w:rPr>
      <w:id w:val="193539550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78A5D6" w14:textId="02E8D7DE" w:rsidR="00920BD2" w:rsidRPr="00920BD2" w:rsidRDefault="00920BD2">
            <w:pPr>
              <w:pStyle w:val="Piedepgina"/>
              <w:jc w:val="center"/>
              <w:rPr>
                <w:rFonts w:ascii="Arial" w:hAnsi="Arial"/>
                <w:sz w:val="20"/>
                <w:szCs w:val="20"/>
              </w:rPr>
            </w:pPr>
            <w:r w:rsidRPr="00920BD2">
              <w:rPr>
                <w:rFonts w:ascii="Arial" w:hAnsi="Arial"/>
                <w:sz w:val="20"/>
                <w:szCs w:val="20"/>
                <w:lang w:val="es-ES"/>
              </w:rPr>
              <w:t xml:space="preserve">Página </w:t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fldChar w:fldCharType="begin"/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instrText>PAGE</w:instrText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fldChar w:fldCharType="separate"/>
            </w:r>
            <w:r w:rsidR="00C435B1">
              <w:rPr>
                <w:rFonts w:ascii="Arial" w:hAnsi="Arial"/>
                <w:b/>
                <w:bCs/>
                <w:noProof/>
                <w:sz w:val="20"/>
                <w:szCs w:val="20"/>
              </w:rPr>
              <w:t>2</w:t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fldChar w:fldCharType="end"/>
            </w:r>
            <w:r w:rsidRPr="00920BD2">
              <w:rPr>
                <w:rFonts w:ascii="Arial" w:hAnsi="Arial"/>
                <w:sz w:val="20"/>
                <w:szCs w:val="20"/>
                <w:lang w:val="es-ES"/>
              </w:rPr>
              <w:t xml:space="preserve"> de </w:t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fldChar w:fldCharType="begin"/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instrText>NUMPAGES</w:instrText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fldChar w:fldCharType="separate"/>
            </w:r>
            <w:r w:rsidR="00C435B1">
              <w:rPr>
                <w:rFonts w:ascii="Arial" w:hAnsi="Arial"/>
                <w:b/>
                <w:bCs/>
                <w:noProof/>
                <w:sz w:val="20"/>
                <w:szCs w:val="20"/>
              </w:rPr>
              <w:t>2</w:t>
            </w:r>
            <w:r w:rsidRPr="00920BD2">
              <w:rPr>
                <w:rFonts w:ascii="Arial" w:hAnsi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599BCFB" w14:textId="77777777" w:rsidR="00BB7130" w:rsidRDefault="000F319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97536" w14:textId="77777777" w:rsidR="000F3199" w:rsidRDefault="000F3199" w:rsidP="007A0ADC">
      <w:pPr>
        <w:spacing w:after="0" w:line="240" w:lineRule="auto"/>
      </w:pPr>
      <w:r>
        <w:separator/>
      </w:r>
    </w:p>
  </w:footnote>
  <w:footnote w:type="continuationSeparator" w:id="0">
    <w:p w14:paraId="428465F8" w14:textId="77777777" w:rsidR="000F3199" w:rsidRDefault="000F3199" w:rsidP="007A0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8A3E4" w14:textId="5C0AD3F9" w:rsidR="00BB7130" w:rsidRPr="00DE46CC" w:rsidRDefault="0016256B" w:rsidP="00BB7130">
    <w:pPr>
      <w:pStyle w:val="Heather"/>
      <w:pBdr>
        <w:bottom w:val="single" w:sz="4" w:space="0" w:color="595959" w:themeColor="text1" w:themeTint="A6"/>
      </w:pBdr>
    </w:pPr>
    <w:r>
      <w:t xml:space="preserve">ANEXO </w:t>
    </w:r>
    <w:r w:rsidR="00C96C9F">
      <w:t>8</w:t>
    </w:r>
    <w:r>
      <w:t xml:space="preserve"> </w:t>
    </w:r>
    <w:r w:rsidR="00C96C9F">
      <w:t>Sistema para enviar al CENACE los registros de medición para liquidaciones</w:t>
    </w:r>
    <w:r>
      <w:br/>
    </w:r>
    <w:r w:rsidR="00920BD2">
      <w:t>Anteproyecto del</w:t>
    </w:r>
    <w:r>
      <w:t xml:space="preserve"> </w:t>
    </w:r>
    <w:r w:rsidR="00C435B1">
      <w:t>06</w:t>
    </w:r>
    <w:r>
      <w:t xml:space="preserve"> </w:t>
    </w:r>
    <w:r w:rsidRPr="00DE46CC">
      <w:t xml:space="preserve">de </w:t>
    </w:r>
    <w:r w:rsidR="00C435B1">
      <w:t>abril</w:t>
    </w:r>
    <w:r w:rsidR="00C96C9F">
      <w:t xml:space="preserve"> </w:t>
    </w:r>
    <w:r w:rsidRPr="00DE46CC">
      <w:t>de 201</w:t>
    </w:r>
    <w:r w:rsidR="00C96C9F">
      <w:t>7</w:t>
    </w:r>
  </w:p>
  <w:p w14:paraId="3CE40C03" w14:textId="77777777" w:rsidR="00BB7130" w:rsidRPr="00DF122D" w:rsidRDefault="000F3199" w:rsidP="00BB7130">
    <w:pPr>
      <w:pStyle w:val="Encabezado"/>
      <w:rPr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C613E"/>
    <w:multiLevelType w:val="multilevel"/>
    <w:tmpl w:val="0B92505A"/>
    <w:lvl w:ilvl="0">
      <w:start w:val="1"/>
      <w:numFmt w:val="decimal"/>
      <w:pStyle w:val="Captulo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Seccin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umer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lowerLetter"/>
      <w:pStyle w:val="Inciso"/>
      <w:lvlText w:val="(%4)"/>
      <w:lvlJc w:val="left"/>
      <w:pPr>
        <w:ind w:left="1418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pStyle w:val="Subinciso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pStyle w:val="Apartado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pStyle w:val="Subapartado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pStyle w:val="SSInciso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pStyle w:val="SSSubinciso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berto Cota Grijalva">
    <w15:presenceInfo w15:providerId="None" w15:userId="Roberto Cota Grijal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55C"/>
    <w:rsid w:val="00051C5F"/>
    <w:rsid w:val="00092E20"/>
    <w:rsid w:val="000E07B7"/>
    <w:rsid w:val="000F3199"/>
    <w:rsid w:val="00136124"/>
    <w:rsid w:val="0016256B"/>
    <w:rsid w:val="0017055C"/>
    <w:rsid w:val="001B4B43"/>
    <w:rsid w:val="002601ED"/>
    <w:rsid w:val="002915AF"/>
    <w:rsid w:val="00341ACA"/>
    <w:rsid w:val="00395E26"/>
    <w:rsid w:val="003C31B8"/>
    <w:rsid w:val="003F42FE"/>
    <w:rsid w:val="00430ABC"/>
    <w:rsid w:val="0044683E"/>
    <w:rsid w:val="004B1302"/>
    <w:rsid w:val="005263BD"/>
    <w:rsid w:val="00581C16"/>
    <w:rsid w:val="00583E5B"/>
    <w:rsid w:val="005A71E6"/>
    <w:rsid w:val="005C01C3"/>
    <w:rsid w:val="005C3BFB"/>
    <w:rsid w:val="006E06D7"/>
    <w:rsid w:val="006F086B"/>
    <w:rsid w:val="0077724D"/>
    <w:rsid w:val="007923FD"/>
    <w:rsid w:val="007A0ADC"/>
    <w:rsid w:val="007A1FA6"/>
    <w:rsid w:val="007D204A"/>
    <w:rsid w:val="007F5E69"/>
    <w:rsid w:val="00920BD2"/>
    <w:rsid w:val="009F3B33"/>
    <w:rsid w:val="00A9016C"/>
    <w:rsid w:val="00BD1561"/>
    <w:rsid w:val="00BE6B1B"/>
    <w:rsid w:val="00C435B1"/>
    <w:rsid w:val="00C96C9F"/>
    <w:rsid w:val="00DA464C"/>
    <w:rsid w:val="00DF25E9"/>
    <w:rsid w:val="00E71603"/>
    <w:rsid w:val="00F26260"/>
    <w:rsid w:val="00F95F42"/>
    <w:rsid w:val="00FC4796"/>
    <w:rsid w:val="00F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C6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ADC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">
    <w:name w:val="Capítulo"/>
    <w:basedOn w:val="Normal"/>
    <w:autoRedefine/>
    <w:qFormat/>
    <w:rsid w:val="007A0ADC"/>
    <w:pPr>
      <w:keepNext/>
      <w:numPr>
        <w:numId w:val="1"/>
      </w:numPr>
      <w:pBdr>
        <w:bottom w:val="single" w:sz="12" w:space="1" w:color="auto"/>
      </w:pBdr>
      <w:spacing w:before="840" w:after="840" w:line="240" w:lineRule="auto"/>
      <w:jc w:val="center"/>
    </w:pPr>
    <w:rPr>
      <w:rFonts w:ascii="Arial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7A0ADC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7A0ADC"/>
    <w:pPr>
      <w:numPr>
        <w:ilvl w:val="2"/>
        <w:numId w:val="1"/>
      </w:numPr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7A0ADC"/>
    <w:rPr>
      <w:rFonts w:ascii="Arial" w:eastAsiaTheme="minorEastAsia" w:hAnsi="Arial" w:cs="Arial"/>
      <w:sz w:val="20"/>
      <w:lang w:eastAsia="es-MX" w:bidi="en-US"/>
    </w:rPr>
  </w:style>
  <w:style w:type="character" w:customStyle="1" w:styleId="SeccinCar">
    <w:name w:val="Sección Car"/>
    <w:basedOn w:val="Fuentedeprrafopredeter"/>
    <w:link w:val="Seccin"/>
    <w:rsid w:val="007A0ADC"/>
    <w:rPr>
      <w:rFonts w:ascii="Arial" w:eastAsiaTheme="minorEastAsia" w:hAnsi="Arial" w:cs="Arial"/>
      <w:b/>
      <w:sz w:val="24"/>
      <w:szCs w:val="28"/>
      <w:lang w:eastAsia="es-MX" w:bidi="en-US"/>
    </w:rPr>
  </w:style>
  <w:style w:type="paragraph" w:customStyle="1" w:styleId="Inciso">
    <w:name w:val="Inciso"/>
    <w:basedOn w:val="Normal"/>
    <w:qFormat/>
    <w:rsid w:val="007A0ADC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paragraph" w:customStyle="1" w:styleId="Subinciso">
    <w:name w:val="Subinciso"/>
    <w:basedOn w:val="Normal"/>
    <w:qFormat/>
    <w:rsid w:val="007A0ADC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7A0ADC"/>
    <w:pPr>
      <w:numPr>
        <w:ilvl w:val="5"/>
        <w:numId w:val="1"/>
      </w:numPr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paragraph" w:customStyle="1" w:styleId="SSInciso">
    <w:name w:val="SS Inciso"/>
    <w:basedOn w:val="Normal"/>
    <w:rsid w:val="007A0ADC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SSubinciso">
    <w:name w:val="SS Subinciso"/>
    <w:basedOn w:val="Normal"/>
    <w:rsid w:val="007A0ADC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7A0ADC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paragraph" w:styleId="Encabezado">
    <w:name w:val="header"/>
    <w:basedOn w:val="Normal"/>
    <w:link w:val="EncabezadoCar"/>
    <w:uiPriority w:val="99"/>
    <w:unhideWhenUsed/>
    <w:rsid w:val="007A0ADC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7A0ADC"/>
    <w:rPr>
      <w:rFonts w:ascii="Calibri" w:eastAsiaTheme="minorEastAsia" w:hAnsi="Calibri" w:cs="Arial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A0ADC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A0ADC"/>
    <w:rPr>
      <w:rFonts w:ascii="Calibri" w:eastAsiaTheme="minorEastAsia" w:hAnsi="Calibri" w:cs="Arial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7A0ADC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7A0ADC"/>
    <w:pPr>
      <w:tabs>
        <w:tab w:val="left" w:pos="567"/>
        <w:tab w:val="right" w:leader="dot" w:pos="8789"/>
      </w:tabs>
      <w:spacing w:after="100" w:line="240" w:lineRule="auto"/>
      <w:ind w:left="567" w:hanging="567"/>
    </w:pPr>
    <w:rPr>
      <w:rFonts w:ascii="Arial" w:hAnsi="Arial" w:cs="Arial"/>
      <w:noProof/>
      <w:snapToGrid w:val="0"/>
      <w:w w:val="0"/>
      <w:sz w:val="20"/>
      <w:szCs w:val="20"/>
      <w:lang w:bidi="en-US"/>
    </w:rPr>
  </w:style>
  <w:style w:type="paragraph" w:customStyle="1" w:styleId="Contenido">
    <w:name w:val="Contenido"/>
    <w:basedOn w:val="Normal"/>
    <w:link w:val="ContenidoCar"/>
    <w:qFormat/>
    <w:rsid w:val="007A0ADC"/>
    <w:pPr>
      <w:tabs>
        <w:tab w:val="left" w:pos="567"/>
      </w:tabs>
      <w:spacing w:before="180" w:after="360" w:line="240" w:lineRule="auto"/>
      <w:jc w:val="center"/>
    </w:pPr>
    <w:rPr>
      <w:rFonts w:ascii="Calibri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7A0ADC"/>
    <w:rPr>
      <w:rFonts w:ascii="Calibri" w:eastAsiaTheme="minorEastAsia" w:hAnsi="Calibri" w:cs="Arial"/>
      <w:b/>
      <w:sz w:val="32"/>
      <w:lang w:eastAsia="es-MX" w:bidi="en-US"/>
    </w:rPr>
  </w:style>
  <w:style w:type="paragraph" w:customStyle="1" w:styleId="Heather">
    <w:name w:val="Heather"/>
    <w:basedOn w:val="Encabezado"/>
    <w:link w:val="HeatherCar"/>
    <w:rsid w:val="007A0ADC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7A0ADC"/>
    <w:rPr>
      <w:rFonts w:ascii="Verdana" w:eastAsiaTheme="minorEastAsia" w:hAnsi="Verdana" w:cs="Arial"/>
      <w:b/>
      <w:i/>
      <w:color w:val="595959" w:themeColor="text1" w:themeTint="A6"/>
      <w:sz w:val="18"/>
      <w:szCs w:val="18"/>
      <w:lang w:eastAsia="es-MX"/>
    </w:rPr>
  </w:style>
  <w:style w:type="paragraph" w:customStyle="1" w:styleId="Portadaarriba">
    <w:name w:val="Portada arriba"/>
    <w:basedOn w:val="Normal"/>
    <w:link w:val="PortadaarribaCar"/>
    <w:qFormat/>
    <w:rsid w:val="007A0ADC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7A0ADC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7A0ADC"/>
    <w:rPr>
      <w:rFonts w:ascii="Calibri" w:eastAsia="Calibri" w:hAnsi="Calibri" w:cs="Arial"/>
      <w:b/>
      <w:sz w:val="56"/>
      <w:szCs w:val="56"/>
      <w:lang w:eastAsia="es-MX" w:bidi="en-US"/>
    </w:rPr>
  </w:style>
  <w:style w:type="character" w:customStyle="1" w:styleId="PortadaabajoCar">
    <w:name w:val="Portada abajo Car"/>
    <w:basedOn w:val="Fuentedeprrafopredeter"/>
    <w:link w:val="Portadaabajo"/>
    <w:rsid w:val="007A0ADC"/>
    <w:rPr>
      <w:rFonts w:ascii="Calibri" w:eastAsia="Calibri" w:hAnsi="Calibri" w:cs="Arial"/>
      <w:sz w:val="48"/>
      <w:szCs w:val="24"/>
      <w:lang w:eastAsia="es-MX" w:bidi="en-US"/>
    </w:rPr>
  </w:style>
  <w:style w:type="character" w:customStyle="1" w:styleId="body0020text0020first0020indentchar">
    <w:name w:val="body_0020text_0020first_0020indent__char"/>
    <w:basedOn w:val="Fuentedeprrafopredeter"/>
    <w:rsid w:val="007A0ADC"/>
  </w:style>
  <w:style w:type="paragraph" w:styleId="Textodeglobo">
    <w:name w:val="Balloon Text"/>
    <w:basedOn w:val="Normal"/>
    <w:link w:val="TextodegloboCar"/>
    <w:uiPriority w:val="99"/>
    <w:semiHidden/>
    <w:unhideWhenUsed/>
    <w:rsid w:val="00BD1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561"/>
    <w:rPr>
      <w:rFonts w:ascii="Segoe UI" w:eastAsiaTheme="minorEastAsia" w:hAnsi="Segoe UI" w:cs="Segoe UI"/>
      <w:sz w:val="18"/>
      <w:szCs w:val="18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F2626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26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260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26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260"/>
    <w:rPr>
      <w:rFonts w:eastAsiaTheme="minorEastAsia"/>
      <w:b/>
      <w:bCs/>
      <w:sz w:val="20"/>
      <w:szCs w:val="20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ADC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">
    <w:name w:val="Capítulo"/>
    <w:basedOn w:val="Normal"/>
    <w:autoRedefine/>
    <w:qFormat/>
    <w:rsid w:val="007A0ADC"/>
    <w:pPr>
      <w:keepNext/>
      <w:numPr>
        <w:numId w:val="1"/>
      </w:numPr>
      <w:pBdr>
        <w:bottom w:val="single" w:sz="12" w:space="1" w:color="auto"/>
      </w:pBdr>
      <w:spacing w:before="840" w:after="840" w:line="240" w:lineRule="auto"/>
      <w:jc w:val="center"/>
    </w:pPr>
    <w:rPr>
      <w:rFonts w:ascii="Arial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7A0ADC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7A0ADC"/>
    <w:pPr>
      <w:numPr>
        <w:ilvl w:val="2"/>
        <w:numId w:val="1"/>
      </w:numPr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7A0ADC"/>
    <w:rPr>
      <w:rFonts w:ascii="Arial" w:eastAsiaTheme="minorEastAsia" w:hAnsi="Arial" w:cs="Arial"/>
      <w:sz w:val="20"/>
      <w:lang w:eastAsia="es-MX" w:bidi="en-US"/>
    </w:rPr>
  </w:style>
  <w:style w:type="character" w:customStyle="1" w:styleId="SeccinCar">
    <w:name w:val="Sección Car"/>
    <w:basedOn w:val="Fuentedeprrafopredeter"/>
    <w:link w:val="Seccin"/>
    <w:rsid w:val="007A0ADC"/>
    <w:rPr>
      <w:rFonts w:ascii="Arial" w:eastAsiaTheme="minorEastAsia" w:hAnsi="Arial" w:cs="Arial"/>
      <w:b/>
      <w:sz w:val="24"/>
      <w:szCs w:val="28"/>
      <w:lang w:eastAsia="es-MX" w:bidi="en-US"/>
    </w:rPr>
  </w:style>
  <w:style w:type="paragraph" w:customStyle="1" w:styleId="Inciso">
    <w:name w:val="Inciso"/>
    <w:basedOn w:val="Normal"/>
    <w:qFormat/>
    <w:rsid w:val="007A0ADC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paragraph" w:customStyle="1" w:styleId="Subinciso">
    <w:name w:val="Subinciso"/>
    <w:basedOn w:val="Normal"/>
    <w:qFormat/>
    <w:rsid w:val="007A0ADC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7A0ADC"/>
    <w:pPr>
      <w:numPr>
        <w:ilvl w:val="5"/>
        <w:numId w:val="1"/>
      </w:numPr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paragraph" w:customStyle="1" w:styleId="SSInciso">
    <w:name w:val="SS Inciso"/>
    <w:basedOn w:val="Normal"/>
    <w:rsid w:val="007A0ADC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SSubinciso">
    <w:name w:val="SS Subinciso"/>
    <w:basedOn w:val="Normal"/>
    <w:rsid w:val="007A0ADC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7A0ADC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paragraph" w:styleId="Encabezado">
    <w:name w:val="header"/>
    <w:basedOn w:val="Normal"/>
    <w:link w:val="EncabezadoCar"/>
    <w:uiPriority w:val="99"/>
    <w:unhideWhenUsed/>
    <w:rsid w:val="007A0ADC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7A0ADC"/>
    <w:rPr>
      <w:rFonts w:ascii="Calibri" w:eastAsiaTheme="minorEastAsia" w:hAnsi="Calibri" w:cs="Arial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A0ADC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A0ADC"/>
    <w:rPr>
      <w:rFonts w:ascii="Calibri" w:eastAsiaTheme="minorEastAsia" w:hAnsi="Calibri" w:cs="Arial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7A0ADC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7A0ADC"/>
    <w:pPr>
      <w:tabs>
        <w:tab w:val="left" w:pos="567"/>
        <w:tab w:val="right" w:leader="dot" w:pos="8789"/>
      </w:tabs>
      <w:spacing w:after="100" w:line="240" w:lineRule="auto"/>
      <w:ind w:left="567" w:hanging="567"/>
    </w:pPr>
    <w:rPr>
      <w:rFonts w:ascii="Arial" w:hAnsi="Arial" w:cs="Arial"/>
      <w:noProof/>
      <w:snapToGrid w:val="0"/>
      <w:w w:val="0"/>
      <w:sz w:val="20"/>
      <w:szCs w:val="20"/>
      <w:lang w:bidi="en-US"/>
    </w:rPr>
  </w:style>
  <w:style w:type="paragraph" w:customStyle="1" w:styleId="Contenido">
    <w:name w:val="Contenido"/>
    <w:basedOn w:val="Normal"/>
    <w:link w:val="ContenidoCar"/>
    <w:qFormat/>
    <w:rsid w:val="007A0ADC"/>
    <w:pPr>
      <w:tabs>
        <w:tab w:val="left" w:pos="567"/>
      </w:tabs>
      <w:spacing w:before="180" w:after="360" w:line="240" w:lineRule="auto"/>
      <w:jc w:val="center"/>
    </w:pPr>
    <w:rPr>
      <w:rFonts w:ascii="Calibri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7A0ADC"/>
    <w:rPr>
      <w:rFonts w:ascii="Calibri" w:eastAsiaTheme="minorEastAsia" w:hAnsi="Calibri" w:cs="Arial"/>
      <w:b/>
      <w:sz w:val="32"/>
      <w:lang w:eastAsia="es-MX" w:bidi="en-US"/>
    </w:rPr>
  </w:style>
  <w:style w:type="paragraph" w:customStyle="1" w:styleId="Heather">
    <w:name w:val="Heather"/>
    <w:basedOn w:val="Encabezado"/>
    <w:link w:val="HeatherCar"/>
    <w:rsid w:val="007A0ADC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7A0ADC"/>
    <w:rPr>
      <w:rFonts w:ascii="Verdana" w:eastAsiaTheme="minorEastAsia" w:hAnsi="Verdana" w:cs="Arial"/>
      <w:b/>
      <w:i/>
      <w:color w:val="595959" w:themeColor="text1" w:themeTint="A6"/>
      <w:sz w:val="18"/>
      <w:szCs w:val="18"/>
      <w:lang w:eastAsia="es-MX"/>
    </w:rPr>
  </w:style>
  <w:style w:type="paragraph" w:customStyle="1" w:styleId="Portadaarriba">
    <w:name w:val="Portada arriba"/>
    <w:basedOn w:val="Normal"/>
    <w:link w:val="PortadaarribaCar"/>
    <w:qFormat/>
    <w:rsid w:val="007A0ADC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7A0ADC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7A0ADC"/>
    <w:rPr>
      <w:rFonts w:ascii="Calibri" w:eastAsia="Calibri" w:hAnsi="Calibri" w:cs="Arial"/>
      <w:b/>
      <w:sz w:val="56"/>
      <w:szCs w:val="56"/>
      <w:lang w:eastAsia="es-MX" w:bidi="en-US"/>
    </w:rPr>
  </w:style>
  <w:style w:type="character" w:customStyle="1" w:styleId="PortadaabajoCar">
    <w:name w:val="Portada abajo Car"/>
    <w:basedOn w:val="Fuentedeprrafopredeter"/>
    <w:link w:val="Portadaabajo"/>
    <w:rsid w:val="007A0ADC"/>
    <w:rPr>
      <w:rFonts w:ascii="Calibri" w:eastAsia="Calibri" w:hAnsi="Calibri" w:cs="Arial"/>
      <w:sz w:val="48"/>
      <w:szCs w:val="24"/>
      <w:lang w:eastAsia="es-MX" w:bidi="en-US"/>
    </w:rPr>
  </w:style>
  <w:style w:type="character" w:customStyle="1" w:styleId="body0020text0020first0020indentchar">
    <w:name w:val="body_0020text_0020first_0020indent__char"/>
    <w:basedOn w:val="Fuentedeprrafopredeter"/>
    <w:rsid w:val="007A0ADC"/>
  </w:style>
  <w:style w:type="paragraph" w:styleId="Textodeglobo">
    <w:name w:val="Balloon Text"/>
    <w:basedOn w:val="Normal"/>
    <w:link w:val="TextodegloboCar"/>
    <w:uiPriority w:val="99"/>
    <w:semiHidden/>
    <w:unhideWhenUsed/>
    <w:rsid w:val="00BD1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561"/>
    <w:rPr>
      <w:rFonts w:ascii="Segoe UI" w:eastAsiaTheme="minorEastAsia" w:hAnsi="Segoe UI" w:cs="Segoe UI"/>
      <w:sz w:val="18"/>
      <w:szCs w:val="18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F2626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626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6260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626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6260"/>
    <w:rPr>
      <w:rFonts w:eastAsiaTheme="minorEastAsia"/>
      <w:b/>
      <w:bCs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691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4</cp:revision>
  <cp:lastPrinted>2017-02-28T17:56:00Z</cp:lastPrinted>
  <dcterms:created xsi:type="dcterms:W3CDTF">2017-03-01T05:08:00Z</dcterms:created>
  <dcterms:modified xsi:type="dcterms:W3CDTF">2017-04-07T18:21:00Z</dcterms:modified>
</cp:coreProperties>
</file>