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F2F9E" w14:textId="34CB910C" w:rsidR="00F84254" w:rsidRDefault="003B4759" w:rsidP="003B6FA2">
      <w:pPr>
        <w:pStyle w:val="Portadaarriba"/>
        <w:spacing w:before="0" w:after="0"/>
        <w:rPr>
          <w:rFonts w:ascii="Arial" w:hAnsi="Arial"/>
          <w:sz w:val="40"/>
          <w:szCs w:val="40"/>
        </w:rPr>
      </w:pPr>
      <w:bookmarkStart w:id="0" w:name="_Toc438489210"/>
      <w:r>
        <w:rPr>
          <w:rFonts w:ascii="Arial" w:hAnsi="Arial"/>
          <w:sz w:val="40"/>
          <w:szCs w:val="40"/>
        </w:rPr>
        <w:t xml:space="preserve">ANEXO </w:t>
      </w:r>
      <w:r w:rsidR="007162AD">
        <w:rPr>
          <w:rFonts w:ascii="Arial" w:hAnsi="Arial"/>
          <w:sz w:val="40"/>
          <w:szCs w:val="40"/>
        </w:rPr>
        <w:t>7</w:t>
      </w:r>
    </w:p>
    <w:p w14:paraId="44929C43" w14:textId="77777777" w:rsidR="00F84254" w:rsidRDefault="00F84254" w:rsidP="00F84254">
      <w:pPr>
        <w:pStyle w:val="Portadaarriba"/>
        <w:spacing w:before="0" w:after="0"/>
        <w:rPr>
          <w:rFonts w:ascii="Arial" w:hAnsi="Arial"/>
          <w:sz w:val="40"/>
          <w:szCs w:val="40"/>
        </w:rPr>
      </w:pPr>
    </w:p>
    <w:p w14:paraId="4EBEDAD1" w14:textId="287C4D71" w:rsidR="00F84254" w:rsidRPr="005662BC" w:rsidRDefault="003B6FA2" w:rsidP="00F84254">
      <w:pPr>
        <w:pStyle w:val="Portadaarriba"/>
        <w:spacing w:before="0" w:after="0"/>
        <w:rPr>
          <w:rFonts w:ascii="Arial" w:hAnsi="Arial"/>
          <w:sz w:val="40"/>
          <w:szCs w:val="40"/>
        </w:rPr>
      </w:pPr>
      <w:r>
        <w:rPr>
          <w:rFonts w:ascii="Arial" w:hAnsi="Arial"/>
          <w:sz w:val="40"/>
          <w:szCs w:val="40"/>
        </w:rPr>
        <w:t>Alternativas de conectividad</w:t>
      </w:r>
    </w:p>
    <w:p w14:paraId="29CFB80D" w14:textId="7E1A545B" w:rsidR="00F84254" w:rsidRDefault="00F84254" w:rsidP="00F84254">
      <w:bookmarkStart w:id="1" w:name="_Toc438489211"/>
      <w:bookmarkEnd w:id="0"/>
    </w:p>
    <w:p w14:paraId="1775289A" w14:textId="77777777" w:rsidR="00F84254" w:rsidRDefault="00F84254" w:rsidP="00F84254">
      <w:pPr>
        <w:pStyle w:val="Seccin"/>
      </w:pPr>
      <w:bookmarkStart w:id="2" w:name="_Toc475143612"/>
      <w:r>
        <w:t>Introducción</w:t>
      </w:r>
      <w:bookmarkEnd w:id="1"/>
      <w:bookmarkEnd w:id="2"/>
    </w:p>
    <w:p w14:paraId="04A3544C" w14:textId="04BA7D21" w:rsidR="00F84254" w:rsidRDefault="003B4759" w:rsidP="00F84254">
      <w:pPr>
        <w:pStyle w:val="Numeral"/>
        <w:rPr>
          <w:rStyle w:val="body0020text0020first0020indentchar"/>
        </w:rPr>
      </w:pPr>
      <w:r>
        <w:rPr>
          <w:rStyle w:val="body0020text0020first0020indentchar"/>
        </w:rPr>
        <w:t>El</w:t>
      </w:r>
      <w:r w:rsidR="00F84254" w:rsidRPr="00105509">
        <w:rPr>
          <w:rStyle w:val="body0020text0020first0020indentchar"/>
        </w:rPr>
        <w:t xml:space="preserve"> presente </w:t>
      </w:r>
      <w:r>
        <w:rPr>
          <w:rStyle w:val="body0020text0020first0020indentchar"/>
        </w:rPr>
        <w:t>anexo contiene las alternativas de conectividad</w:t>
      </w:r>
      <w:r w:rsidR="00F84254" w:rsidRPr="00105509">
        <w:rPr>
          <w:rStyle w:val="body0020text0020first0020indentchar"/>
        </w:rPr>
        <w:t xml:space="preserve"> </w:t>
      </w:r>
      <w:r>
        <w:rPr>
          <w:rStyle w:val="body0020text0020first0020indentchar"/>
        </w:rPr>
        <w:t xml:space="preserve">disponibles para </w:t>
      </w:r>
      <w:r w:rsidR="001C3343">
        <w:rPr>
          <w:rStyle w:val="body0020text0020first0020indentchar"/>
        </w:rPr>
        <w:t xml:space="preserve">las Centrales Eléctricas o Centros de Carga, para </w:t>
      </w:r>
      <w:r>
        <w:rPr>
          <w:rStyle w:val="body0020text0020first0020indentchar"/>
        </w:rPr>
        <w:t xml:space="preserve">que </w:t>
      </w:r>
      <w:r w:rsidR="001C3343">
        <w:rPr>
          <w:rStyle w:val="body0020text0020first0020indentchar"/>
        </w:rPr>
        <w:t xml:space="preserve">el Transportista o Distribuidor </w:t>
      </w:r>
      <w:r w:rsidR="003B6FA2">
        <w:rPr>
          <w:rStyle w:val="body0020text0020first0020indentchar"/>
        </w:rPr>
        <w:t>adquieran</w:t>
      </w:r>
      <w:r w:rsidR="001C3343">
        <w:rPr>
          <w:rStyle w:val="body0020text0020first0020indentchar"/>
        </w:rPr>
        <w:t xml:space="preserve"> sus registros de </w:t>
      </w:r>
      <w:r w:rsidR="00727C02">
        <w:rPr>
          <w:rStyle w:val="body0020text0020first0020indentchar"/>
        </w:rPr>
        <w:t>medición para liquidaciones</w:t>
      </w:r>
      <w:r w:rsidR="00F84254" w:rsidRPr="00AE37C0">
        <w:rPr>
          <w:rStyle w:val="body0020text0020first0020indentchar"/>
        </w:rPr>
        <w:t>.</w:t>
      </w:r>
    </w:p>
    <w:p w14:paraId="08E58B81" w14:textId="41852A0E" w:rsidR="00F84254" w:rsidRDefault="00F84254" w:rsidP="00F84254">
      <w:pPr>
        <w:pStyle w:val="Numeral"/>
        <w:rPr>
          <w:rStyle w:val="body0020text0020first0020indentchar"/>
        </w:rPr>
      </w:pPr>
      <w:r>
        <w:t>Para efectos del presente anexo, se consideran las definiciones del</w:t>
      </w:r>
      <w:r w:rsidR="001C3343">
        <w:t xml:space="preserve"> numeral 1.4 del Manual. </w:t>
      </w:r>
    </w:p>
    <w:p w14:paraId="69258790" w14:textId="390A4CA9" w:rsidR="001C3343" w:rsidRDefault="002F4285" w:rsidP="003B6FA2">
      <w:pPr>
        <w:pStyle w:val="Seccin"/>
        <w:rPr>
          <w:rStyle w:val="body0020text0020first0020indentchar"/>
        </w:rPr>
      </w:pPr>
      <w:bookmarkStart w:id="3" w:name="_Toc475143613"/>
      <w:r>
        <w:rPr>
          <w:rStyle w:val="body0020text0020first0020indentchar"/>
        </w:rPr>
        <w:t>Disposiciones general</w:t>
      </w:r>
      <w:r w:rsidR="001C3343">
        <w:rPr>
          <w:rStyle w:val="body0020text0020first0020indentchar"/>
        </w:rPr>
        <w:t>es</w:t>
      </w:r>
      <w:bookmarkEnd w:id="3"/>
    </w:p>
    <w:p w14:paraId="5FCE85E3" w14:textId="77777777" w:rsidR="005E6718" w:rsidRDefault="005E6718" w:rsidP="00F84254">
      <w:pPr>
        <w:pStyle w:val="Numeral"/>
        <w:rPr>
          <w:rStyle w:val="body0020text0020first0020indentchar"/>
        </w:rPr>
      </w:pPr>
      <w:r>
        <w:rPr>
          <w:rStyle w:val="body0020text0020first0020indentchar"/>
        </w:rPr>
        <w:t>Las alternativas que se presentan en este anexo garantizan las condiciones adecuadas para realizar la medición en el MEM conforme a la normativa aplicable.</w:t>
      </w:r>
    </w:p>
    <w:p w14:paraId="10F348DC" w14:textId="77777777" w:rsidR="00904E87" w:rsidRDefault="00904E87" w:rsidP="00F84254">
      <w:pPr>
        <w:pStyle w:val="Numeral"/>
        <w:rPr>
          <w:rStyle w:val="body0020text0020first0020indentchar"/>
        </w:rPr>
      </w:pPr>
      <w:r>
        <w:rPr>
          <w:rStyle w:val="body0020text0020first0020indentchar"/>
        </w:rPr>
        <w:t xml:space="preserve">Cualquier Central Eléctrica puede optar por cualquiera de las alternativas de conectividad que se presentan en este anexo. </w:t>
      </w:r>
      <w:r w:rsidR="005E6718">
        <w:rPr>
          <w:rStyle w:val="body0020text0020first0020indentchar"/>
        </w:rPr>
        <w:t xml:space="preserve">Para poder optar por las alternativas </w:t>
      </w:r>
      <w:r w:rsidR="00FF6856">
        <w:rPr>
          <w:rStyle w:val="body0020text0020first0020indentchar"/>
        </w:rPr>
        <w:t>B, D y E</w:t>
      </w:r>
      <w:r>
        <w:rPr>
          <w:rStyle w:val="body0020text0020first0020indentchar"/>
        </w:rPr>
        <w:t>, si se trata de dos o más</w:t>
      </w:r>
      <w:r w:rsidR="005E6718">
        <w:rPr>
          <w:rStyle w:val="body0020text0020first0020indentchar"/>
        </w:rPr>
        <w:t xml:space="preserve"> Centrales El</w:t>
      </w:r>
      <w:r>
        <w:rPr>
          <w:rStyle w:val="body0020text0020first0020indentchar"/>
        </w:rPr>
        <w:t>éctricas, éstas deben estar representadas por</w:t>
      </w:r>
      <w:r w:rsidR="005E6718">
        <w:rPr>
          <w:rStyle w:val="body0020text0020first0020indentchar"/>
        </w:rPr>
        <w:t xml:space="preserve"> un mismo Generador</w:t>
      </w:r>
      <w:r>
        <w:rPr>
          <w:rStyle w:val="body0020text0020first0020indentchar"/>
        </w:rPr>
        <w:t>.</w:t>
      </w:r>
    </w:p>
    <w:p w14:paraId="603EC8E8" w14:textId="77777777" w:rsidR="005E6718" w:rsidRDefault="00904E87" w:rsidP="00F84254">
      <w:pPr>
        <w:pStyle w:val="Numeral"/>
        <w:rPr>
          <w:rStyle w:val="body0020text0020first0020indentchar"/>
        </w:rPr>
      </w:pPr>
      <w:r>
        <w:rPr>
          <w:rStyle w:val="body0020text0020first0020indentchar"/>
        </w:rPr>
        <w:t xml:space="preserve">Cualquier Centro de Carga puede optar por cualquiera de las alternativas de conectividad que se presentan en este anexo. Para poder optar por las alternativas </w:t>
      </w:r>
      <w:r w:rsidR="00FF6856">
        <w:rPr>
          <w:rStyle w:val="body0020text0020first0020indentchar"/>
        </w:rPr>
        <w:t>B, D y E</w:t>
      </w:r>
      <w:r>
        <w:rPr>
          <w:rStyle w:val="body0020text0020first0020indentchar"/>
        </w:rPr>
        <w:t xml:space="preserve">, si se trata de dos o más Centros de Carga, éstos deben </w:t>
      </w:r>
      <w:r w:rsidR="00676D90">
        <w:rPr>
          <w:rStyle w:val="body0020text0020first0020indentchar"/>
        </w:rPr>
        <w:t>estar representados por</w:t>
      </w:r>
      <w:r>
        <w:rPr>
          <w:rStyle w:val="body0020text0020first0020indentchar"/>
        </w:rPr>
        <w:t xml:space="preserve"> un mismo</w:t>
      </w:r>
      <w:r w:rsidR="00676D90">
        <w:rPr>
          <w:rStyle w:val="body0020text0020first0020indentchar"/>
        </w:rPr>
        <w:t xml:space="preserve"> Usuario Final</w:t>
      </w:r>
      <w:r>
        <w:rPr>
          <w:rStyle w:val="body0020text0020first0020indentchar"/>
        </w:rPr>
        <w:t>.</w:t>
      </w:r>
      <w:r w:rsidR="005E6718">
        <w:rPr>
          <w:rStyle w:val="body0020text0020first0020indentchar"/>
        </w:rPr>
        <w:t xml:space="preserve"> </w:t>
      </w:r>
    </w:p>
    <w:p w14:paraId="63AE53D5" w14:textId="2A284275" w:rsidR="001B0C30" w:rsidRDefault="001B0C30">
      <w:pPr>
        <w:pStyle w:val="Numeral"/>
        <w:rPr>
          <w:rStyle w:val="body0020text0020first0020indentchar"/>
        </w:rPr>
      </w:pPr>
      <w:r>
        <w:t xml:space="preserve">Para las alternativas B, D y E, la conectividad de Intranet de la Central Eléctrica o el Centro de Carga, así como el </w:t>
      </w:r>
      <w:r w:rsidR="00447550">
        <w:t>Punto de Conectividad</w:t>
      </w:r>
      <w:r>
        <w:t xml:space="preserve"> de esta Intranet hacia el Transportista o Distribuidor, podrán ser provistas por el Suministrador que represente a los </w:t>
      </w:r>
      <w:r w:rsidR="00023B2F">
        <w:t>U</w:t>
      </w:r>
      <w:r>
        <w:t xml:space="preserve">suarios </w:t>
      </w:r>
      <w:r w:rsidR="00023B2F">
        <w:t>F</w:t>
      </w:r>
      <w:r>
        <w:t xml:space="preserve">inales o el Generador que represente a las </w:t>
      </w:r>
      <w:r w:rsidR="00023B2F">
        <w:t>C</w:t>
      </w:r>
      <w:r>
        <w:t xml:space="preserve">entrales </w:t>
      </w:r>
      <w:r w:rsidR="00023B2F">
        <w:t>E</w:t>
      </w:r>
      <w:r>
        <w:t>léctricas</w:t>
      </w:r>
      <w:r w:rsidR="00023B2F">
        <w:t>.</w:t>
      </w:r>
      <w:r>
        <w:t xml:space="preserve"> </w:t>
      </w:r>
      <w:r w:rsidR="00023B2F">
        <w:t>E</w:t>
      </w:r>
      <w:r>
        <w:t xml:space="preserve">n tales casos, el </w:t>
      </w:r>
      <w:r w:rsidR="00447550">
        <w:t>S</w:t>
      </w:r>
      <w:r>
        <w:t xml:space="preserve">uministrador o el </w:t>
      </w:r>
      <w:r w:rsidR="00447550">
        <w:t>G</w:t>
      </w:r>
      <w:r>
        <w:t xml:space="preserve">enerador que corresponda será responsable de </w:t>
      </w:r>
      <w:r w:rsidR="00447550">
        <w:t xml:space="preserve">cumplir </w:t>
      </w:r>
      <w:r>
        <w:t>los requerimientos de conectividad hacia el Transportista o Distribuidor.</w:t>
      </w:r>
      <w:bookmarkStart w:id="4" w:name="_GoBack"/>
      <w:bookmarkEnd w:id="4"/>
    </w:p>
    <w:p w14:paraId="31D2ED45" w14:textId="06A99D4B" w:rsidR="004D64CE" w:rsidRDefault="004D64CE" w:rsidP="00F84254">
      <w:pPr>
        <w:pStyle w:val="Numeral"/>
      </w:pPr>
      <w:r w:rsidRPr="00E05AC7">
        <w:t xml:space="preserve">El desempeño del medio de comunicación implementado por </w:t>
      </w:r>
      <w:r w:rsidR="008455B8">
        <w:t>la Central Eléctrica o el Centro de Carga</w:t>
      </w:r>
      <w:r w:rsidR="008455B8" w:rsidRPr="001C3343">
        <w:t xml:space="preserve"> </w:t>
      </w:r>
      <w:r w:rsidRPr="00E05AC7">
        <w:t>debe cumplir con lo establecido en la recomendación ITU-T Y.1564 Metodología de pruebas de la activación del servicio Ethernet.</w:t>
      </w:r>
      <w:r>
        <w:t xml:space="preserve"> </w:t>
      </w:r>
    </w:p>
    <w:p w14:paraId="03E53036" w14:textId="015F1C2E" w:rsidR="004D64CE" w:rsidRDefault="004D64CE" w:rsidP="00F84254">
      <w:pPr>
        <w:pStyle w:val="Numeral"/>
      </w:pPr>
      <w:r>
        <w:t xml:space="preserve">Como parte de las pruebas que garanticen el correcto funcionamiento de la infraestructura TIC, </w:t>
      </w:r>
      <w:r w:rsidR="008455B8">
        <w:t>la Central Eléctrica o el Centro de Carga</w:t>
      </w:r>
      <w:r w:rsidR="008455B8" w:rsidRPr="001C3343">
        <w:t xml:space="preserve"> </w:t>
      </w:r>
      <w:r>
        <w:t>deberá contar con los resultados satisfactorios del desempeño del medio de comunicación</w:t>
      </w:r>
      <w:r w:rsidR="003B6FA2">
        <w:t xml:space="preserve"> conforme a lo señalado en el numeral anterior</w:t>
      </w:r>
      <w:r>
        <w:t>.</w:t>
      </w:r>
      <w:r w:rsidRPr="00E05AC7">
        <w:t xml:space="preserve"> </w:t>
      </w:r>
    </w:p>
    <w:p w14:paraId="0A772751" w14:textId="2A602CEE" w:rsidR="004D64CE" w:rsidRDefault="004D64CE" w:rsidP="00F84254">
      <w:pPr>
        <w:pStyle w:val="Numeral"/>
      </w:pPr>
      <w:r w:rsidRPr="00E05AC7">
        <w:t xml:space="preserve">El Transportista o </w:t>
      </w:r>
      <w:r w:rsidR="00EB156C">
        <w:t xml:space="preserve">el </w:t>
      </w:r>
      <w:r w:rsidRPr="00E05AC7">
        <w:t xml:space="preserve">Distribuidor podrá monitorear en cualquier momento el desempeño del medio de comunicación, </w:t>
      </w:r>
      <w:r w:rsidR="00DC444D">
        <w:t xml:space="preserve">para lo cual utilizará </w:t>
      </w:r>
      <w:r w:rsidRPr="00E05AC7">
        <w:t xml:space="preserve">la metodología </w:t>
      </w:r>
      <w:r w:rsidR="00DC444D">
        <w:t>referida en el numer</w:t>
      </w:r>
      <w:r w:rsidR="00447550">
        <w:t>a</w:t>
      </w:r>
      <w:r w:rsidR="00DC444D">
        <w:t>l 1.2.5</w:t>
      </w:r>
      <w:r w:rsidRPr="00E05AC7">
        <w:t>.</w:t>
      </w:r>
    </w:p>
    <w:p w14:paraId="550C4D4C" w14:textId="77777777" w:rsidR="003B6FA2" w:rsidRDefault="003B6FA2" w:rsidP="003B6FA2">
      <w:pPr>
        <w:pStyle w:val="Numeral"/>
        <w:numPr>
          <w:ilvl w:val="0"/>
          <w:numId w:val="0"/>
        </w:numPr>
        <w:ind w:left="851"/>
      </w:pPr>
    </w:p>
    <w:p w14:paraId="6A5D7795" w14:textId="77777777" w:rsidR="0054764B" w:rsidRDefault="00727C02" w:rsidP="0054764B">
      <w:pPr>
        <w:pStyle w:val="Seccin"/>
      </w:pPr>
      <w:bookmarkStart w:id="5" w:name="_Toc475143614"/>
      <w:bookmarkStart w:id="6" w:name="_Toc475143615"/>
      <w:bookmarkEnd w:id="5"/>
      <w:r>
        <w:lastRenderedPageBreak/>
        <w:t>Alternativas de c</w:t>
      </w:r>
      <w:r w:rsidR="00946B25">
        <w:t>onectividad</w:t>
      </w:r>
      <w:bookmarkEnd w:id="6"/>
    </w:p>
    <w:p w14:paraId="1EC16D8A" w14:textId="77777777" w:rsidR="00727C02" w:rsidRDefault="00FA66F0" w:rsidP="00727C02">
      <w:pPr>
        <w:pStyle w:val="Numeral"/>
      </w:pPr>
      <w:r>
        <w:t xml:space="preserve">Las Centrales Eléctricas o </w:t>
      </w:r>
      <w:r w:rsidR="00EB156C">
        <w:t xml:space="preserve">los </w:t>
      </w:r>
      <w:r>
        <w:t>Centros de Carga</w:t>
      </w:r>
      <w:r w:rsidR="00727C02" w:rsidRPr="00727C02">
        <w:t xml:space="preserve"> podrán optar</w:t>
      </w:r>
      <w:r>
        <w:t xml:space="preserve"> por cualquiera de las siguientes alternativas de conectividad</w:t>
      </w:r>
      <w:r w:rsidR="00ED5F23">
        <w:t>:</w:t>
      </w:r>
    </w:p>
    <w:p w14:paraId="7D941BE0" w14:textId="7B4C0B13" w:rsidR="00FA66F0" w:rsidRDefault="00FA66F0" w:rsidP="001C3343">
      <w:pPr>
        <w:pStyle w:val="Inciso"/>
        <w:numPr>
          <w:ilvl w:val="3"/>
          <w:numId w:val="5"/>
        </w:numPr>
      </w:pPr>
      <w:r w:rsidRPr="00FA66F0">
        <w:t xml:space="preserve">MPLS directo </w:t>
      </w:r>
      <w:r w:rsidR="00F972A3">
        <w:t>desde</w:t>
      </w:r>
      <w:r w:rsidRPr="00FA66F0">
        <w:t xml:space="preserve"> cada </w:t>
      </w:r>
      <w:r w:rsidR="00F972A3">
        <w:t>Medidor Multifunción para Liquidaciones</w:t>
      </w:r>
    </w:p>
    <w:p w14:paraId="35FE4AED" w14:textId="423530ED" w:rsidR="00FA66F0" w:rsidRDefault="00FA66F0" w:rsidP="001C3343">
      <w:pPr>
        <w:pStyle w:val="Inciso"/>
        <w:numPr>
          <w:ilvl w:val="3"/>
          <w:numId w:val="5"/>
        </w:numPr>
      </w:pPr>
      <w:r w:rsidRPr="00FA66F0">
        <w:t xml:space="preserve">VPN sobre MPLS </w:t>
      </w:r>
      <w:r w:rsidR="00F972A3">
        <w:t>desde</w:t>
      </w:r>
      <w:r w:rsidR="00F972A3" w:rsidRPr="00FA66F0">
        <w:t xml:space="preserve"> </w:t>
      </w:r>
      <w:r w:rsidRPr="00FA66F0">
        <w:t>la intranet de</w:t>
      </w:r>
      <w:r w:rsidR="00B825B8">
        <w:t xml:space="preserve"> la Central Eléctrica o del Centro de Carga </w:t>
      </w:r>
    </w:p>
    <w:p w14:paraId="778D24F6" w14:textId="7CBE9BA5" w:rsidR="00FA66F0" w:rsidRDefault="00FA66F0" w:rsidP="001C3343">
      <w:pPr>
        <w:pStyle w:val="Inciso"/>
        <w:numPr>
          <w:ilvl w:val="3"/>
          <w:numId w:val="5"/>
        </w:numPr>
      </w:pPr>
      <w:r w:rsidRPr="00FA66F0">
        <w:t xml:space="preserve">IP pública por internet directo </w:t>
      </w:r>
      <w:r w:rsidR="00F972A3">
        <w:t>desde</w:t>
      </w:r>
      <w:r w:rsidRPr="00FA66F0">
        <w:t xml:space="preserve"> cada </w:t>
      </w:r>
      <w:r w:rsidR="00F972A3">
        <w:t>Medidor Multifunción para Liquidaciones</w:t>
      </w:r>
    </w:p>
    <w:p w14:paraId="7CCFDA6A" w14:textId="40620897" w:rsidR="00FA66F0" w:rsidRDefault="00FA66F0" w:rsidP="001C3343">
      <w:pPr>
        <w:pStyle w:val="Inciso"/>
        <w:numPr>
          <w:ilvl w:val="3"/>
          <w:numId w:val="5"/>
        </w:numPr>
      </w:pPr>
      <w:r w:rsidRPr="00FA66F0">
        <w:t xml:space="preserve">VPN sobre internet </w:t>
      </w:r>
      <w:r w:rsidR="00F972A3">
        <w:t>desde</w:t>
      </w:r>
      <w:r w:rsidR="00F972A3" w:rsidRPr="00FA66F0">
        <w:t xml:space="preserve"> </w:t>
      </w:r>
      <w:r w:rsidRPr="00FA66F0">
        <w:t xml:space="preserve">la intranet </w:t>
      </w:r>
      <w:r w:rsidR="00B825B8" w:rsidRPr="00FA66F0">
        <w:t>de</w:t>
      </w:r>
      <w:r w:rsidR="00B825B8">
        <w:t xml:space="preserve"> la Central Eléctrica o del Centro de Carga </w:t>
      </w:r>
    </w:p>
    <w:p w14:paraId="4CFB07D2" w14:textId="3C022EE8" w:rsidR="009C1131" w:rsidRDefault="009C1131" w:rsidP="001C3343">
      <w:pPr>
        <w:pStyle w:val="Inciso"/>
        <w:numPr>
          <w:ilvl w:val="3"/>
          <w:numId w:val="5"/>
        </w:numPr>
      </w:pPr>
      <w:r w:rsidRPr="00FA66F0">
        <w:t xml:space="preserve">VPN sobre internet </w:t>
      </w:r>
      <w:r w:rsidR="00F972A3">
        <w:t xml:space="preserve">desde </w:t>
      </w:r>
      <w:r>
        <w:t xml:space="preserve">el </w:t>
      </w:r>
      <w:r w:rsidR="00F972A3">
        <w:t>M</w:t>
      </w:r>
      <w:r>
        <w:t xml:space="preserve">edidor </w:t>
      </w:r>
      <w:r w:rsidR="00F972A3">
        <w:t>Multifunción para</w:t>
      </w:r>
      <w:r>
        <w:t xml:space="preserve"> </w:t>
      </w:r>
      <w:r w:rsidR="00F972A3">
        <w:t>L</w:t>
      </w:r>
      <w:r>
        <w:t xml:space="preserve">iquidaciones </w:t>
      </w:r>
      <w:r w:rsidR="00F972A3">
        <w:t xml:space="preserve">mediante </w:t>
      </w:r>
      <w:r>
        <w:t>canales satelitales (s</w:t>
      </w:r>
      <w:r w:rsidRPr="00727C02">
        <w:t xml:space="preserve">ólo en caso de que </w:t>
      </w:r>
      <w:r>
        <w:t>la Central Eléctrica o Centro de Carga</w:t>
      </w:r>
      <w:r w:rsidRPr="00727C02">
        <w:t xml:space="preserve"> se encuentre fuera de la cobertura de las redes comerciales de comunicación</w:t>
      </w:r>
      <w:r>
        <w:t>)</w:t>
      </w:r>
      <w:r w:rsidRPr="00727C02">
        <w:t>.</w:t>
      </w:r>
    </w:p>
    <w:p w14:paraId="5567F21B" w14:textId="7CFD8175" w:rsidR="000C1F13" w:rsidRDefault="004D64CE" w:rsidP="001C3343">
      <w:pPr>
        <w:pStyle w:val="Inciso"/>
        <w:numPr>
          <w:ilvl w:val="3"/>
          <w:numId w:val="5"/>
        </w:numPr>
      </w:pPr>
      <w:r w:rsidRPr="004D64CE">
        <w:t xml:space="preserve">Conectividad directa </w:t>
      </w:r>
      <w:r w:rsidR="00F972A3">
        <w:t>desde e</w:t>
      </w:r>
      <w:r w:rsidRPr="004D64CE">
        <w:t xml:space="preserve">l </w:t>
      </w:r>
      <w:r w:rsidR="00F972A3">
        <w:t>M</w:t>
      </w:r>
      <w:r w:rsidR="000C1F13">
        <w:t xml:space="preserve">edidor </w:t>
      </w:r>
      <w:r w:rsidR="00F972A3">
        <w:t>M</w:t>
      </w:r>
      <w:r w:rsidR="000C1F13">
        <w:t xml:space="preserve">ultifunción para </w:t>
      </w:r>
      <w:r w:rsidR="00F972A3">
        <w:t>L</w:t>
      </w:r>
      <w:r w:rsidR="000C1F13">
        <w:t>iquidaciones.</w:t>
      </w:r>
    </w:p>
    <w:p w14:paraId="50455A2B" w14:textId="77777777" w:rsidR="00727C02" w:rsidRDefault="00727C02" w:rsidP="001C3343">
      <w:pPr>
        <w:pStyle w:val="Numeral"/>
        <w:numPr>
          <w:ilvl w:val="0"/>
          <w:numId w:val="0"/>
        </w:numPr>
        <w:ind w:left="851"/>
      </w:pPr>
    </w:p>
    <w:p w14:paraId="30A3ACF6" w14:textId="43A201CC" w:rsidR="00727C02" w:rsidRPr="00B825B8" w:rsidRDefault="00ED5F23" w:rsidP="00B825B8">
      <w:pPr>
        <w:pStyle w:val="Numeral"/>
        <w:rPr>
          <w:b/>
        </w:rPr>
      </w:pPr>
      <w:r w:rsidRPr="00B825B8">
        <w:rPr>
          <w:b/>
        </w:rPr>
        <w:t xml:space="preserve">Alternativa </w:t>
      </w:r>
      <w:r w:rsidR="001C3343" w:rsidRPr="00B825B8">
        <w:rPr>
          <w:b/>
        </w:rPr>
        <w:t>A</w:t>
      </w:r>
      <w:r w:rsidRPr="00B825B8">
        <w:rPr>
          <w:b/>
        </w:rPr>
        <w:t xml:space="preserve">. Conectividad MPLS directa </w:t>
      </w:r>
      <w:r w:rsidR="00B2047D">
        <w:rPr>
          <w:b/>
        </w:rPr>
        <w:t>desde e</w:t>
      </w:r>
      <w:r w:rsidRPr="00B825B8">
        <w:rPr>
          <w:b/>
        </w:rPr>
        <w:t xml:space="preserve">l </w:t>
      </w:r>
      <w:r w:rsidR="00F972A3">
        <w:rPr>
          <w:b/>
        </w:rPr>
        <w:t>Medidor Multifunción para Liquidaciones</w:t>
      </w:r>
    </w:p>
    <w:p w14:paraId="33799BB8" w14:textId="77777777" w:rsidR="001C3343" w:rsidRDefault="001C3343" w:rsidP="00672FDD">
      <w:pPr>
        <w:pStyle w:val="Numeral"/>
        <w:numPr>
          <w:ilvl w:val="0"/>
          <w:numId w:val="0"/>
        </w:numPr>
        <w:ind w:left="851"/>
        <w:jc w:val="center"/>
      </w:pPr>
      <w:r>
        <w:rPr>
          <w:noProof/>
          <w:lang w:eastAsia="es-MX" w:bidi="ar-SA"/>
        </w:rPr>
        <w:drawing>
          <wp:inline distT="0" distB="0" distL="0" distR="0" wp14:anchorId="79E8AA38" wp14:editId="6DD732C2">
            <wp:extent cx="4918804" cy="3208534"/>
            <wp:effectExtent l="25400" t="25400" r="34290" b="1778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15" r="5063"/>
                    <a:stretch/>
                  </pic:blipFill>
                  <pic:spPr bwMode="auto">
                    <a:xfrm>
                      <a:off x="0" y="0"/>
                      <a:ext cx="4962535" cy="32370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E4AA18" w14:textId="5108F337" w:rsidR="00ED5F23" w:rsidRDefault="001D2430" w:rsidP="003B6FA2">
      <w:pPr>
        <w:pStyle w:val="Numeral"/>
      </w:pPr>
      <w:r>
        <w:t>La</w:t>
      </w:r>
      <w:r w:rsidR="00FE2D43" w:rsidRPr="00FE2D43">
        <w:t xml:space="preserve"> </w:t>
      </w:r>
      <w:r w:rsidR="00FE2D43">
        <w:t>Central Eléctrica o Centro de Carga</w:t>
      </w:r>
      <w:r w:rsidR="00ED5F23">
        <w:t xml:space="preserve"> implementará, por cada </w:t>
      </w:r>
      <w:r w:rsidR="002F4285">
        <w:t>Medidor Multifunción para Liquidaciones</w:t>
      </w:r>
      <w:r w:rsidR="00ED5F23">
        <w:t xml:space="preserve">, un </w:t>
      </w:r>
      <w:r w:rsidR="008455B8">
        <w:t xml:space="preserve">medio </w:t>
      </w:r>
      <w:r w:rsidR="00ED5F23">
        <w:t xml:space="preserve">de comunicación con tecnología comercial </w:t>
      </w:r>
      <w:r w:rsidR="00FA66F0">
        <w:t>IP</w:t>
      </w:r>
      <w:r w:rsidR="002F4285">
        <w:t>-</w:t>
      </w:r>
      <w:r w:rsidR="00ED5F23">
        <w:t>MPLS</w:t>
      </w:r>
      <w:r w:rsidR="00FE2D43">
        <w:t xml:space="preserve"> </w:t>
      </w:r>
      <w:r w:rsidR="00ED5F23">
        <w:t xml:space="preserve">hacia el </w:t>
      </w:r>
      <w:r w:rsidR="00447550">
        <w:t>Punto de Conectividad</w:t>
      </w:r>
      <w:r w:rsidR="00ED5F23">
        <w:t xml:space="preserve"> definido por el </w:t>
      </w:r>
      <w:r w:rsidR="00FA66F0">
        <w:t>Transportista o</w:t>
      </w:r>
      <w:r w:rsidR="00ED5F23">
        <w:t xml:space="preserve"> Distribuidor</w:t>
      </w:r>
      <w:r w:rsidR="00FE2D43">
        <w:t>, según sea el caso,</w:t>
      </w:r>
      <w:r w:rsidR="00ED5F23">
        <w:t xml:space="preserve"> para </w:t>
      </w:r>
      <w:r w:rsidR="00FE2D43">
        <w:t>la adquisición</w:t>
      </w:r>
      <w:r w:rsidR="00FC75CA">
        <w:t xml:space="preserve"> y envío</w:t>
      </w:r>
      <w:r w:rsidR="00FE2D43">
        <w:t xml:space="preserve"> </w:t>
      </w:r>
      <w:r w:rsidR="00ED5F23">
        <w:t xml:space="preserve">de </w:t>
      </w:r>
      <w:r w:rsidR="00FE2D43">
        <w:t>los registros</w:t>
      </w:r>
      <w:r w:rsidR="00ED5F23">
        <w:t xml:space="preserve"> de medición para liquidaci</w:t>
      </w:r>
      <w:r w:rsidR="000F1E89">
        <w:t>ones</w:t>
      </w:r>
      <w:r w:rsidR="00ED5F23">
        <w:t>.</w:t>
      </w:r>
    </w:p>
    <w:p w14:paraId="085E1D09" w14:textId="2ED19C69" w:rsidR="000A55E4" w:rsidRDefault="00ED5F23" w:rsidP="003B6FA2">
      <w:pPr>
        <w:pStyle w:val="Inciso"/>
        <w:ind w:left="1418"/>
      </w:pPr>
      <w:r>
        <w:t xml:space="preserve">La implementación del </w:t>
      </w:r>
      <w:r w:rsidR="008455B8">
        <w:t xml:space="preserve">medio </w:t>
      </w:r>
      <w:r>
        <w:t xml:space="preserve">de comunicación </w:t>
      </w:r>
      <w:r w:rsidR="00FE2D43">
        <w:t xml:space="preserve">IP </w:t>
      </w:r>
      <w:r>
        <w:t xml:space="preserve">MPLS debe realizarse con apego a los parámetros de </w:t>
      </w:r>
      <w:r w:rsidR="00EB156C">
        <w:t xml:space="preserve">comunicación </w:t>
      </w:r>
      <w:r>
        <w:t xml:space="preserve">que </w:t>
      </w:r>
      <w:r w:rsidR="00FE2D43">
        <w:t xml:space="preserve">indique </w:t>
      </w:r>
      <w:r>
        <w:t xml:space="preserve">el </w:t>
      </w:r>
      <w:r w:rsidR="00FE2D43">
        <w:t>Transportista o</w:t>
      </w:r>
      <w:r>
        <w:t xml:space="preserve"> Distribuidor</w:t>
      </w:r>
      <w:r w:rsidR="000A55E4">
        <w:t>.</w:t>
      </w:r>
    </w:p>
    <w:p w14:paraId="1D8C8C3B" w14:textId="3A6A2A88" w:rsidR="00ED5F23" w:rsidRDefault="000A55E4" w:rsidP="003B6FA2">
      <w:pPr>
        <w:pStyle w:val="Inciso"/>
        <w:ind w:left="1418"/>
      </w:pPr>
      <w:r>
        <w:t xml:space="preserve">El </w:t>
      </w:r>
      <w:r w:rsidR="002F4285">
        <w:t xml:space="preserve">medio de comunicación </w:t>
      </w:r>
      <w:r>
        <w:t>deberá</w:t>
      </w:r>
      <w:r w:rsidR="00ED5F23">
        <w:t xml:space="preserve"> tener un ancho de banda nominal de al menos </w:t>
      </w:r>
      <w:r w:rsidR="007F1191">
        <w:t xml:space="preserve">64 </w:t>
      </w:r>
      <w:r w:rsidR="00ED5F23">
        <w:t>kbps.</w:t>
      </w:r>
    </w:p>
    <w:p w14:paraId="33EC827C" w14:textId="5E786511" w:rsidR="00ED5F23" w:rsidRDefault="00ED5F23" w:rsidP="003B6FA2">
      <w:pPr>
        <w:pStyle w:val="Inciso"/>
        <w:ind w:left="1418"/>
      </w:pPr>
      <w:r>
        <w:lastRenderedPageBreak/>
        <w:t xml:space="preserve">El extremo del </w:t>
      </w:r>
      <w:r w:rsidR="002F4285">
        <w:t xml:space="preserve">medio de comunicación </w:t>
      </w:r>
      <w:r w:rsidR="000A55E4">
        <w:t>IP</w:t>
      </w:r>
      <w:r w:rsidR="002F4285">
        <w:t>-</w:t>
      </w:r>
      <w:r>
        <w:t>MPLS que corresponda a las instalaciones de</w:t>
      </w:r>
      <w:r w:rsidR="000A55E4">
        <w:t xml:space="preserve"> </w:t>
      </w:r>
      <w:r>
        <w:t>l</w:t>
      </w:r>
      <w:r w:rsidR="000A55E4">
        <w:t>a</w:t>
      </w:r>
      <w:r>
        <w:t xml:space="preserve"> </w:t>
      </w:r>
      <w:r w:rsidR="000A55E4">
        <w:t>Central Eléctrica o Centro de Carga</w:t>
      </w:r>
      <w:r>
        <w:t xml:space="preserve"> debe conectarse en forma directa, mediante un canal </w:t>
      </w:r>
      <w:r w:rsidR="003B6FA2">
        <w:t>Ethernet</w:t>
      </w:r>
      <w:r>
        <w:t xml:space="preserve"> Base</w:t>
      </w:r>
      <w:r w:rsidR="00F972A3">
        <w:t>-</w:t>
      </w:r>
      <w:r>
        <w:t>T o Base</w:t>
      </w:r>
      <w:r w:rsidR="00F972A3">
        <w:t>-</w:t>
      </w:r>
      <w:r>
        <w:t xml:space="preserve">X, hacia el puerto de comunicación del </w:t>
      </w:r>
      <w:r w:rsidR="00F972A3">
        <w:t>Medidor Multifunción para Liquidaciones</w:t>
      </w:r>
      <w:r>
        <w:t>.</w:t>
      </w:r>
    </w:p>
    <w:p w14:paraId="6B2673A8" w14:textId="54D469EC" w:rsidR="002F4285" w:rsidRDefault="002F4285" w:rsidP="003B6FA2">
      <w:pPr>
        <w:pStyle w:val="Inciso"/>
        <w:ind w:left="1418"/>
      </w:pPr>
      <w:r>
        <w:t xml:space="preserve">En caso de no cumplir con el desempeño señalado en el inciso (a) anterior, el Transportista o Distribuidor podrá solicitar a la Central Eléctrica o al Centro de Carga que incremente la capacidad del canal de acceso a internet en sus instalaciones, </w:t>
      </w:r>
      <w:r w:rsidR="005A0FC0">
        <w:rPr>
          <w:color w:val="000000"/>
        </w:rPr>
        <w:t>hasta la capacidad necesaria para cumplir con el desempeño establecido en el inciso (a) anterior.</w:t>
      </w:r>
      <w:r w:rsidR="005A0FC0" w:rsidDel="005A0FC0">
        <w:t xml:space="preserve"> </w:t>
      </w:r>
    </w:p>
    <w:p w14:paraId="663C9D09" w14:textId="77777777" w:rsidR="00992624" w:rsidRDefault="00992624" w:rsidP="003B6FA2">
      <w:pPr>
        <w:pStyle w:val="Inciso"/>
        <w:numPr>
          <w:ilvl w:val="0"/>
          <w:numId w:val="0"/>
        </w:numPr>
        <w:ind w:left="1418"/>
      </w:pPr>
    </w:p>
    <w:p w14:paraId="05EF90C6" w14:textId="4D36B033" w:rsidR="00ED5F23" w:rsidRPr="003B6FA2" w:rsidRDefault="00ED5F23" w:rsidP="003B6FA2">
      <w:pPr>
        <w:pStyle w:val="Numeral"/>
        <w:rPr>
          <w:b/>
        </w:rPr>
      </w:pPr>
      <w:r w:rsidRPr="003B6FA2">
        <w:rPr>
          <w:b/>
        </w:rPr>
        <w:t xml:space="preserve">Alternativa </w:t>
      </w:r>
      <w:r w:rsidR="00F972A3">
        <w:rPr>
          <w:b/>
        </w:rPr>
        <w:t>B</w:t>
      </w:r>
      <w:r w:rsidRPr="003B6FA2">
        <w:rPr>
          <w:b/>
        </w:rPr>
        <w:t xml:space="preserve">. Conectividad VPN sobre MPLS </w:t>
      </w:r>
      <w:r w:rsidR="00F972A3">
        <w:rPr>
          <w:b/>
        </w:rPr>
        <w:t xml:space="preserve">desde </w:t>
      </w:r>
      <w:r w:rsidRPr="003B6FA2">
        <w:rPr>
          <w:b/>
        </w:rPr>
        <w:t>la intranet de</w:t>
      </w:r>
      <w:r w:rsidR="00B825B8">
        <w:rPr>
          <w:b/>
        </w:rPr>
        <w:t xml:space="preserve"> la Central Eléctrica o Centro de Carga</w:t>
      </w:r>
      <w:r w:rsidRPr="003B6FA2">
        <w:rPr>
          <w:b/>
        </w:rPr>
        <w:t>.</w:t>
      </w:r>
    </w:p>
    <w:p w14:paraId="5291A9B6" w14:textId="4A9CCF47" w:rsidR="000A55E4" w:rsidRDefault="008A6C12" w:rsidP="003B6FA2">
      <w:pPr>
        <w:pStyle w:val="Numeral"/>
        <w:numPr>
          <w:ilvl w:val="0"/>
          <w:numId w:val="0"/>
        </w:numPr>
        <w:ind w:left="851"/>
        <w:jc w:val="center"/>
      </w:pPr>
      <w:r w:rsidRPr="008A6C12">
        <w:rPr>
          <w:rFonts w:asciiTheme="minorHAnsi" w:hAnsiTheme="minorHAnsi" w:cstheme="minorBidi"/>
          <w:noProof/>
          <w:sz w:val="24"/>
          <w:szCs w:val="24"/>
          <w:lang w:eastAsia="es-MX" w:bidi="ar-SA"/>
        </w:rPr>
        <w:drawing>
          <wp:inline distT="0" distB="0" distL="0" distR="0" wp14:anchorId="2836DC2C" wp14:editId="16ED78D0">
            <wp:extent cx="4865427" cy="3279628"/>
            <wp:effectExtent l="19050" t="19050" r="11430" b="165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18559" cy="331544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0176A90" w14:textId="16644C32" w:rsidR="00ED5F23" w:rsidRDefault="001B0C30" w:rsidP="003B6FA2">
      <w:pPr>
        <w:pStyle w:val="Inciso"/>
        <w:ind w:left="1418"/>
      </w:pPr>
      <w:r>
        <w:t>L</w:t>
      </w:r>
      <w:r w:rsidR="008455B8">
        <w:t>a Central Eléctrica o el Centro de Carga</w:t>
      </w:r>
      <w:r w:rsidR="008455B8" w:rsidDel="008455B8">
        <w:t xml:space="preserve"> </w:t>
      </w:r>
      <w:r w:rsidR="00ED5F23">
        <w:t xml:space="preserve">implementará un </w:t>
      </w:r>
      <w:r w:rsidR="008455B8">
        <w:t xml:space="preserve">medio </w:t>
      </w:r>
      <w:r w:rsidR="00ED5F23">
        <w:t xml:space="preserve">de comunicación con tecnología comercial </w:t>
      </w:r>
      <w:r w:rsidR="000A55E4">
        <w:t xml:space="preserve">IP </w:t>
      </w:r>
      <w:r w:rsidR="00ED5F23">
        <w:t xml:space="preserve">MPLS, desde un punto de acceso a su intranet, hasta el </w:t>
      </w:r>
      <w:r w:rsidR="00447550">
        <w:t>Punto de Conectividad</w:t>
      </w:r>
      <w:r w:rsidR="00ED5F23">
        <w:t xml:space="preserve"> definido por el</w:t>
      </w:r>
      <w:r w:rsidR="000A55E4">
        <w:t xml:space="preserve"> Transportista o</w:t>
      </w:r>
      <w:r w:rsidR="00ED5F23">
        <w:t xml:space="preserve"> Distribuidor</w:t>
      </w:r>
      <w:r w:rsidR="000A55E4">
        <w:t>, Según sea el caso,</w:t>
      </w:r>
      <w:r w:rsidR="00ED5F23">
        <w:t xml:space="preserve"> para la </w:t>
      </w:r>
      <w:r w:rsidR="000A55E4">
        <w:t xml:space="preserve">adquisición </w:t>
      </w:r>
      <w:r w:rsidR="00FC75CA">
        <w:t xml:space="preserve">y envío </w:t>
      </w:r>
      <w:r w:rsidR="000A55E4">
        <w:t xml:space="preserve">de los registros </w:t>
      </w:r>
      <w:r w:rsidR="00ED5F23">
        <w:t>de medición para liquidaci</w:t>
      </w:r>
      <w:r w:rsidR="000F1E89">
        <w:t>ones</w:t>
      </w:r>
      <w:r w:rsidR="00ED5F23">
        <w:t>.</w:t>
      </w:r>
      <w:r w:rsidR="00B825B8">
        <w:t xml:space="preserve"> </w:t>
      </w:r>
      <w:r w:rsidR="00ED5F23">
        <w:t xml:space="preserve">La implementación del </w:t>
      </w:r>
      <w:r w:rsidR="008455B8">
        <w:t xml:space="preserve">medio </w:t>
      </w:r>
      <w:r w:rsidR="00ED5F23">
        <w:t xml:space="preserve">de comunicación </w:t>
      </w:r>
      <w:r w:rsidR="000A55E4">
        <w:t xml:space="preserve">IP </w:t>
      </w:r>
      <w:r w:rsidR="00ED5F23">
        <w:t xml:space="preserve">MPLS debe realizarse con apego a los parámetros de </w:t>
      </w:r>
      <w:r w:rsidR="00B825B8">
        <w:t xml:space="preserve">comunicación </w:t>
      </w:r>
      <w:r w:rsidR="00ED5F23">
        <w:t xml:space="preserve">que </w:t>
      </w:r>
      <w:r w:rsidR="000A55E4">
        <w:t xml:space="preserve">indique </w:t>
      </w:r>
      <w:r w:rsidR="00ED5F23">
        <w:t xml:space="preserve">el </w:t>
      </w:r>
      <w:r w:rsidR="000A55E4">
        <w:t xml:space="preserve">Transportista o </w:t>
      </w:r>
      <w:r w:rsidR="00ED5F23">
        <w:t>Distribuidor.</w:t>
      </w:r>
    </w:p>
    <w:p w14:paraId="6D5FDB65" w14:textId="1812B376" w:rsidR="00ED5F23" w:rsidRDefault="00ED5F23" w:rsidP="003B6FA2">
      <w:pPr>
        <w:pStyle w:val="Inciso"/>
        <w:ind w:left="1418"/>
      </w:pPr>
      <w:r>
        <w:t>El ancho de banda</w:t>
      </w:r>
      <w:r w:rsidR="007F1191">
        <w:t xml:space="preserve"> mínimo</w:t>
      </w:r>
      <w:r>
        <w:t xml:space="preserve"> del </w:t>
      </w:r>
      <w:r w:rsidR="000F1E89">
        <w:t xml:space="preserve">medio de comunicación </w:t>
      </w:r>
      <w:r w:rsidR="000A55E4">
        <w:t>IP</w:t>
      </w:r>
      <w:r w:rsidR="002F4285">
        <w:t>-</w:t>
      </w:r>
      <w:r>
        <w:t xml:space="preserve">MPLS debe ser acorde </w:t>
      </w:r>
      <w:r w:rsidR="00DC444D">
        <w:t>con</w:t>
      </w:r>
      <w:r>
        <w:t xml:space="preserve"> la cantidad de </w:t>
      </w:r>
      <w:r w:rsidR="000F1E89">
        <w:t>M</w:t>
      </w:r>
      <w:r w:rsidR="00445431">
        <w:t xml:space="preserve">edidores </w:t>
      </w:r>
      <w:r w:rsidR="000F1E89">
        <w:t>M</w:t>
      </w:r>
      <w:r w:rsidR="00445431">
        <w:t xml:space="preserve">ultifunción para </w:t>
      </w:r>
      <w:r w:rsidR="000F1E89">
        <w:t>L</w:t>
      </w:r>
      <w:r w:rsidR="00445431">
        <w:t>iquidaci</w:t>
      </w:r>
      <w:r w:rsidR="000F1E89">
        <w:t>ones</w:t>
      </w:r>
      <w:r>
        <w:t xml:space="preserve"> </w:t>
      </w:r>
      <w:r w:rsidR="00DC444D">
        <w:t>cuyos registros</w:t>
      </w:r>
      <w:r>
        <w:t xml:space="preserve"> de medición </w:t>
      </w:r>
      <w:r w:rsidR="007F1191">
        <w:t xml:space="preserve">se </w:t>
      </w:r>
      <w:r w:rsidR="00992624">
        <w:t>adquieran</w:t>
      </w:r>
      <w:r w:rsidR="007F1191">
        <w:t xml:space="preserve"> </w:t>
      </w:r>
      <w:r>
        <w:t xml:space="preserve">a través de dicho </w:t>
      </w:r>
      <w:r w:rsidR="000F1E89">
        <w:t>medio</w:t>
      </w:r>
      <w:r>
        <w:t xml:space="preserve">, de acuerdo </w:t>
      </w:r>
      <w:r w:rsidR="000F1E89">
        <w:t>con</w:t>
      </w:r>
      <w:r>
        <w:t xml:space="preserve"> </w:t>
      </w:r>
      <w:r w:rsidR="00DC444D">
        <w:t xml:space="preserve">lo señalado en </w:t>
      </w:r>
      <w:r>
        <w:t>la siguiente tabla</w:t>
      </w:r>
      <w:r w:rsidR="00DC444D">
        <w:t>:</w:t>
      </w:r>
    </w:p>
    <w:p w14:paraId="53FE3C4B" w14:textId="77777777" w:rsidR="003B6FA2" w:rsidRDefault="003B6FA2" w:rsidP="003B6FA2">
      <w:pPr>
        <w:pStyle w:val="Seccin"/>
        <w:numPr>
          <w:ilvl w:val="0"/>
          <w:numId w:val="0"/>
        </w:numPr>
        <w:ind w:left="851"/>
      </w:pPr>
    </w:p>
    <w:p w14:paraId="175451B9" w14:textId="77777777" w:rsidR="003B6FA2" w:rsidRDefault="003B6FA2" w:rsidP="003B6FA2">
      <w:pPr>
        <w:pStyle w:val="Seccin"/>
        <w:numPr>
          <w:ilvl w:val="0"/>
          <w:numId w:val="0"/>
        </w:numPr>
        <w:ind w:left="851"/>
      </w:pPr>
    </w:p>
    <w:p w14:paraId="1977D879" w14:textId="77777777" w:rsidR="003B6FA2" w:rsidRPr="003B6FA2" w:rsidRDefault="003B6FA2" w:rsidP="003B6FA2">
      <w:pPr>
        <w:pStyle w:val="Numeral"/>
        <w:numPr>
          <w:ilvl w:val="0"/>
          <w:numId w:val="0"/>
        </w:numPr>
        <w:ind w:left="851"/>
      </w:pPr>
    </w:p>
    <w:tbl>
      <w:tblPr>
        <w:tblStyle w:val="Tablaconcuadrcula"/>
        <w:tblW w:w="0" w:type="auto"/>
        <w:tblInd w:w="2376" w:type="dxa"/>
        <w:tblLook w:val="04A0" w:firstRow="1" w:lastRow="0" w:firstColumn="1" w:lastColumn="0" w:noHBand="0" w:noVBand="1"/>
      </w:tblPr>
      <w:tblGrid>
        <w:gridCol w:w="3689"/>
        <w:gridCol w:w="1985"/>
      </w:tblGrid>
      <w:tr w:rsidR="00ED5F23" w:rsidRPr="00DC444D" w14:paraId="1F407C12" w14:textId="77777777" w:rsidTr="003B6FA2">
        <w:trPr>
          <w:trHeight w:hRule="exact" w:val="488"/>
        </w:trPr>
        <w:tc>
          <w:tcPr>
            <w:tcW w:w="3689" w:type="dxa"/>
            <w:vAlign w:val="center"/>
          </w:tcPr>
          <w:p w14:paraId="11709DAB" w14:textId="235B7623" w:rsidR="00ED5F23" w:rsidRPr="003B6FA2" w:rsidRDefault="00ED5F23" w:rsidP="003B6FA2">
            <w:pPr>
              <w:spacing w:before="60" w:afterLines="60" w:after="144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6FA2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Cantidad de </w:t>
            </w:r>
            <w:r w:rsidR="000F1E89" w:rsidRPr="003B6FA2"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="00445431" w:rsidRPr="003B6FA2">
              <w:rPr>
                <w:rFonts w:ascii="Arial" w:hAnsi="Arial" w:cs="Arial"/>
                <w:b/>
                <w:sz w:val="18"/>
                <w:szCs w:val="18"/>
              </w:rPr>
              <w:t xml:space="preserve">edidores </w:t>
            </w:r>
            <w:r w:rsidR="000F1E89" w:rsidRPr="003B6FA2"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="00445431" w:rsidRPr="003B6FA2">
              <w:rPr>
                <w:rFonts w:ascii="Arial" w:hAnsi="Arial" w:cs="Arial"/>
                <w:b/>
                <w:sz w:val="18"/>
                <w:szCs w:val="18"/>
              </w:rPr>
              <w:t xml:space="preserve">ultifunción para </w:t>
            </w:r>
            <w:r w:rsidR="000F1E89" w:rsidRPr="003B6FA2"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445431" w:rsidRPr="003B6FA2">
              <w:rPr>
                <w:rFonts w:ascii="Arial" w:hAnsi="Arial" w:cs="Arial"/>
                <w:b/>
                <w:sz w:val="18"/>
                <w:szCs w:val="18"/>
              </w:rPr>
              <w:t>iquidaci</w:t>
            </w:r>
            <w:r w:rsidR="000F1E89" w:rsidRPr="003B6FA2">
              <w:rPr>
                <w:rFonts w:ascii="Arial" w:hAnsi="Arial" w:cs="Arial"/>
                <w:b/>
                <w:sz w:val="18"/>
                <w:szCs w:val="18"/>
              </w:rPr>
              <w:t>ones</w:t>
            </w:r>
          </w:p>
        </w:tc>
        <w:tc>
          <w:tcPr>
            <w:tcW w:w="1985" w:type="dxa"/>
            <w:vAlign w:val="center"/>
          </w:tcPr>
          <w:p w14:paraId="285D52DC" w14:textId="77777777" w:rsidR="00ED5F23" w:rsidRPr="003B6FA2" w:rsidRDefault="00ED5F23" w:rsidP="003B6FA2">
            <w:pPr>
              <w:spacing w:before="60" w:afterLines="60" w:after="144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6FA2">
              <w:rPr>
                <w:rFonts w:ascii="Arial" w:hAnsi="Arial" w:cs="Arial"/>
                <w:b/>
                <w:sz w:val="18"/>
                <w:szCs w:val="18"/>
              </w:rPr>
              <w:t>Ancho de banda requerido</w:t>
            </w:r>
          </w:p>
        </w:tc>
      </w:tr>
      <w:tr w:rsidR="007F1191" w:rsidRPr="00DC444D" w14:paraId="7EC118A3" w14:textId="77777777" w:rsidTr="003B6FA2">
        <w:trPr>
          <w:trHeight w:hRule="exact" w:val="284"/>
        </w:trPr>
        <w:tc>
          <w:tcPr>
            <w:tcW w:w="3689" w:type="dxa"/>
          </w:tcPr>
          <w:p w14:paraId="07E47038" w14:textId="77777777" w:rsidR="007F1191" w:rsidRPr="003B6FA2" w:rsidRDefault="007F1191" w:rsidP="003B6FA2">
            <w:pPr>
              <w:spacing w:before="60" w:afterLines="60" w:after="144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FA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14:paraId="61B1D83A" w14:textId="77777777" w:rsidR="007F1191" w:rsidRPr="003B6FA2" w:rsidRDefault="007F1191" w:rsidP="003B6FA2">
            <w:pPr>
              <w:spacing w:before="60" w:afterLines="60" w:after="144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FA2">
              <w:rPr>
                <w:rFonts w:ascii="Arial" w:hAnsi="Arial" w:cs="Arial"/>
                <w:sz w:val="18"/>
                <w:szCs w:val="18"/>
              </w:rPr>
              <w:t>64 kbps</w:t>
            </w:r>
          </w:p>
        </w:tc>
      </w:tr>
      <w:tr w:rsidR="00ED5F23" w:rsidRPr="00DC444D" w14:paraId="28B62CF4" w14:textId="77777777" w:rsidTr="003B6FA2">
        <w:trPr>
          <w:trHeight w:hRule="exact" w:val="284"/>
        </w:trPr>
        <w:tc>
          <w:tcPr>
            <w:tcW w:w="3689" w:type="dxa"/>
          </w:tcPr>
          <w:p w14:paraId="50DB10D0" w14:textId="77777777" w:rsidR="00ED5F23" w:rsidRPr="003B6FA2" w:rsidRDefault="007F1191" w:rsidP="003B6FA2">
            <w:pPr>
              <w:spacing w:before="60" w:afterLines="60" w:after="144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FA2">
              <w:rPr>
                <w:rFonts w:ascii="Arial" w:hAnsi="Arial" w:cs="Arial"/>
                <w:sz w:val="18"/>
                <w:szCs w:val="18"/>
              </w:rPr>
              <w:t>2</w:t>
            </w:r>
            <w:r w:rsidR="00ED5F23" w:rsidRPr="003B6FA2">
              <w:rPr>
                <w:rFonts w:ascii="Arial" w:hAnsi="Arial" w:cs="Arial"/>
                <w:sz w:val="18"/>
                <w:szCs w:val="18"/>
              </w:rPr>
              <w:t xml:space="preserve"> a 5</w:t>
            </w:r>
          </w:p>
        </w:tc>
        <w:tc>
          <w:tcPr>
            <w:tcW w:w="1985" w:type="dxa"/>
          </w:tcPr>
          <w:p w14:paraId="7F20CF1B" w14:textId="77777777" w:rsidR="00ED5F23" w:rsidRPr="003B6FA2" w:rsidRDefault="00ED5F23" w:rsidP="003B6FA2">
            <w:pPr>
              <w:spacing w:before="60" w:afterLines="60" w:after="144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FA2">
              <w:rPr>
                <w:rFonts w:ascii="Arial" w:hAnsi="Arial" w:cs="Arial"/>
                <w:sz w:val="18"/>
                <w:szCs w:val="18"/>
              </w:rPr>
              <w:t>192 kbps</w:t>
            </w:r>
          </w:p>
        </w:tc>
      </w:tr>
      <w:tr w:rsidR="00ED5F23" w:rsidRPr="00DC444D" w14:paraId="582521B9" w14:textId="77777777" w:rsidTr="003B6FA2">
        <w:trPr>
          <w:trHeight w:hRule="exact" w:val="284"/>
        </w:trPr>
        <w:tc>
          <w:tcPr>
            <w:tcW w:w="3689" w:type="dxa"/>
          </w:tcPr>
          <w:p w14:paraId="6FE76714" w14:textId="77777777" w:rsidR="00ED5F23" w:rsidRPr="003B6FA2" w:rsidRDefault="00ED5F23" w:rsidP="003B6FA2">
            <w:pPr>
              <w:spacing w:before="60" w:afterLines="60" w:after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FA2">
              <w:rPr>
                <w:rFonts w:ascii="Arial" w:hAnsi="Arial" w:cs="Arial"/>
                <w:sz w:val="18"/>
                <w:szCs w:val="18"/>
              </w:rPr>
              <w:t>6 a 10</w:t>
            </w:r>
          </w:p>
        </w:tc>
        <w:tc>
          <w:tcPr>
            <w:tcW w:w="1985" w:type="dxa"/>
          </w:tcPr>
          <w:p w14:paraId="1B6A4D53" w14:textId="77777777" w:rsidR="00ED5F23" w:rsidRPr="003B6FA2" w:rsidRDefault="00ED5F23" w:rsidP="003B6FA2">
            <w:pPr>
              <w:spacing w:before="60" w:afterLines="60" w:after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FA2">
              <w:rPr>
                <w:rFonts w:ascii="Arial" w:hAnsi="Arial" w:cs="Arial"/>
                <w:sz w:val="18"/>
                <w:szCs w:val="18"/>
              </w:rPr>
              <w:t>256 kbps</w:t>
            </w:r>
          </w:p>
        </w:tc>
      </w:tr>
      <w:tr w:rsidR="00ED5F23" w:rsidRPr="00DC444D" w14:paraId="123CE089" w14:textId="77777777" w:rsidTr="003B6FA2">
        <w:trPr>
          <w:trHeight w:hRule="exact" w:val="284"/>
        </w:trPr>
        <w:tc>
          <w:tcPr>
            <w:tcW w:w="3689" w:type="dxa"/>
          </w:tcPr>
          <w:p w14:paraId="238B955E" w14:textId="77777777" w:rsidR="00ED5F23" w:rsidRPr="003B6FA2" w:rsidRDefault="00ED5F23" w:rsidP="003B6FA2">
            <w:pPr>
              <w:spacing w:before="60" w:afterLines="60" w:after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FA2">
              <w:rPr>
                <w:rFonts w:ascii="Arial" w:hAnsi="Arial" w:cs="Arial"/>
                <w:sz w:val="18"/>
                <w:szCs w:val="18"/>
              </w:rPr>
              <w:t>11 a 20</w:t>
            </w:r>
          </w:p>
        </w:tc>
        <w:tc>
          <w:tcPr>
            <w:tcW w:w="1985" w:type="dxa"/>
          </w:tcPr>
          <w:p w14:paraId="3CEE04D9" w14:textId="77777777" w:rsidR="00ED5F23" w:rsidRPr="003B6FA2" w:rsidRDefault="00ED5F23" w:rsidP="003B6FA2">
            <w:pPr>
              <w:spacing w:before="60" w:afterLines="60" w:after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FA2">
              <w:rPr>
                <w:rFonts w:ascii="Arial" w:hAnsi="Arial" w:cs="Arial"/>
                <w:sz w:val="18"/>
                <w:szCs w:val="18"/>
              </w:rPr>
              <w:t>384 kbps</w:t>
            </w:r>
          </w:p>
        </w:tc>
      </w:tr>
      <w:tr w:rsidR="00ED5F23" w:rsidRPr="00DC444D" w14:paraId="4BDDAE79" w14:textId="77777777" w:rsidTr="003B6FA2">
        <w:trPr>
          <w:trHeight w:hRule="exact" w:val="284"/>
        </w:trPr>
        <w:tc>
          <w:tcPr>
            <w:tcW w:w="3689" w:type="dxa"/>
          </w:tcPr>
          <w:p w14:paraId="447EAA3B" w14:textId="77777777" w:rsidR="00ED5F23" w:rsidRPr="003B6FA2" w:rsidRDefault="00ED5F23" w:rsidP="003B6FA2">
            <w:pPr>
              <w:spacing w:before="60" w:afterLines="60" w:after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FA2">
              <w:rPr>
                <w:rFonts w:ascii="Arial" w:hAnsi="Arial" w:cs="Arial"/>
                <w:sz w:val="18"/>
                <w:szCs w:val="18"/>
              </w:rPr>
              <w:t>21 a 50</w:t>
            </w:r>
          </w:p>
        </w:tc>
        <w:tc>
          <w:tcPr>
            <w:tcW w:w="1985" w:type="dxa"/>
          </w:tcPr>
          <w:p w14:paraId="4A5577B1" w14:textId="77777777" w:rsidR="00ED5F23" w:rsidRPr="003B6FA2" w:rsidRDefault="00ED5F23" w:rsidP="003B6FA2">
            <w:pPr>
              <w:spacing w:before="60" w:afterLines="60" w:after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FA2">
              <w:rPr>
                <w:rFonts w:ascii="Arial" w:hAnsi="Arial" w:cs="Arial"/>
                <w:sz w:val="18"/>
                <w:szCs w:val="18"/>
              </w:rPr>
              <w:t>512 kbps</w:t>
            </w:r>
          </w:p>
        </w:tc>
      </w:tr>
      <w:tr w:rsidR="00ED5F23" w:rsidRPr="00DC444D" w14:paraId="544A379E" w14:textId="77777777" w:rsidTr="003B6FA2">
        <w:trPr>
          <w:trHeight w:hRule="exact" w:val="284"/>
        </w:trPr>
        <w:tc>
          <w:tcPr>
            <w:tcW w:w="3689" w:type="dxa"/>
          </w:tcPr>
          <w:p w14:paraId="127B2463" w14:textId="77777777" w:rsidR="00ED5F23" w:rsidRPr="003B6FA2" w:rsidRDefault="00ED5F23" w:rsidP="003B6FA2">
            <w:pPr>
              <w:spacing w:before="60" w:afterLines="60" w:after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FA2">
              <w:rPr>
                <w:rFonts w:ascii="Arial" w:hAnsi="Arial" w:cs="Arial"/>
                <w:sz w:val="18"/>
                <w:szCs w:val="18"/>
              </w:rPr>
              <w:t>51 a 100</w:t>
            </w:r>
          </w:p>
        </w:tc>
        <w:tc>
          <w:tcPr>
            <w:tcW w:w="1985" w:type="dxa"/>
          </w:tcPr>
          <w:p w14:paraId="192FA7EF" w14:textId="77777777" w:rsidR="00ED5F23" w:rsidRPr="003B6FA2" w:rsidRDefault="00ED5F23" w:rsidP="003B6FA2">
            <w:pPr>
              <w:spacing w:before="60" w:afterLines="60" w:after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FA2">
              <w:rPr>
                <w:rFonts w:ascii="Arial" w:hAnsi="Arial" w:cs="Arial"/>
                <w:sz w:val="18"/>
                <w:szCs w:val="18"/>
              </w:rPr>
              <w:t>768 kbps</w:t>
            </w:r>
          </w:p>
        </w:tc>
      </w:tr>
      <w:tr w:rsidR="00ED5F23" w:rsidRPr="00DC444D" w14:paraId="7722169C" w14:textId="77777777" w:rsidTr="003B6FA2">
        <w:trPr>
          <w:trHeight w:hRule="exact" w:val="284"/>
        </w:trPr>
        <w:tc>
          <w:tcPr>
            <w:tcW w:w="3689" w:type="dxa"/>
          </w:tcPr>
          <w:p w14:paraId="3E44804A" w14:textId="77777777" w:rsidR="00ED5F23" w:rsidRPr="003B6FA2" w:rsidRDefault="00ED5F23" w:rsidP="003B6FA2">
            <w:pPr>
              <w:spacing w:before="60" w:afterLines="60" w:after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FA2">
              <w:rPr>
                <w:rFonts w:ascii="Arial" w:hAnsi="Arial" w:cs="Arial"/>
                <w:sz w:val="18"/>
                <w:szCs w:val="18"/>
              </w:rPr>
              <w:t>101 a 200</w:t>
            </w:r>
          </w:p>
        </w:tc>
        <w:tc>
          <w:tcPr>
            <w:tcW w:w="1985" w:type="dxa"/>
          </w:tcPr>
          <w:p w14:paraId="64FA7331" w14:textId="77777777" w:rsidR="00ED5F23" w:rsidRPr="003B6FA2" w:rsidRDefault="00ED5F23" w:rsidP="003B6FA2">
            <w:pPr>
              <w:spacing w:before="60" w:afterLines="60" w:after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FA2">
              <w:rPr>
                <w:rFonts w:ascii="Arial" w:hAnsi="Arial" w:cs="Arial"/>
                <w:sz w:val="18"/>
                <w:szCs w:val="18"/>
              </w:rPr>
              <w:t>1 Mbps</w:t>
            </w:r>
          </w:p>
        </w:tc>
      </w:tr>
      <w:tr w:rsidR="00ED5F23" w:rsidRPr="00DC444D" w14:paraId="7A8647B9" w14:textId="77777777" w:rsidTr="003B6FA2">
        <w:trPr>
          <w:trHeight w:hRule="exact" w:val="284"/>
        </w:trPr>
        <w:tc>
          <w:tcPr>
            <w:tcW w:w="3689" w:type="dxa"/>
          </w:tcPr>
          <w:p w14:paraId="71CA4984" w14:textId="77777777" w:rsidR="00ED5F23" w:rsidRPr="003B6FA2" w:rsidRDefault="00ED5F23" w:rsidP="003B6FA2">
            <w:pPr>
              <w:spacing w:before="60" w:afterLines="60" w:after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FA2">
              <w:rPr>
                <w:rFonts w:ascii="Arial" w:hAnsi="Arial" w:cs="Arial"/>
                <w:sz w:val="18"/>
                <w:szCs w:val="18"/>
              </w:rPr>
              <w:t>201 a 500</w:t>
            </w:r>
          </w:p>
        </w:tc>
        <w:tc>
          <w:tcPr>
            <w:tcW w:w="1985" w:type="dxa"/>
          </w:tcPr>
          <w:p w14:paraId="78734E0D" w14:textId="77777777" w:rsidR="00ED5F23" w:rsidRPr="003B6FA2" w:rsidRDefault="00ED5F23" w:rsidP="003B6FA2">
            <w:pPr>
              <w:spacing w:before="60" w:afterLines="60" w:after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FA2">
              <w:rPr>
                <w:rFonts w:ascii="Arial" w:hAnsi="Arial" w:cs="Arial"/>
                <w:sz w:val="18"/>
                <w:szCs w:val="18"/>
              </w:rPr>
              <w:t>1.25 Mbps</w:t>
            </w:r>
          </w:p>
        </w:tc>
      </w:tr>
      <w:tr w:rsidR="00ED5F23" w:rsidRPr="00DC444D" w14:paraId="14A116C0" w14:textId="77777777" w:rsidTr="003B6FA2">
        <w:trPr>
          <w:trHeight w:hRule="exact" w:val="284"/>
        </w:trPr>
        <w:tc>
          <w:tcPr>
            <w:tcW w:w="3689" w:type="dxa"/>
          </w:tcPr>
          <w:p w14:paraId="0C7A7FEB" w14:textId="77777777" w:rsidR="00ED5F23" w:rsidRPr="003B6FA2" w:rsidRDefault="00ED5F23" w:rsidP="003B6FA2">
            <w:pPr>
              <w:spacing w:before="60" w:afterLines="60" w:after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FA2">
              <w:rPr>
                <w:rFonts w:ascii="Arial" w:hAnsi="Arial" w:cs="Arial"/>
                <w:sz w:val="18"/>
                <w:szCs w:val="18"/>
              </w:rPr>
              <w:t>501 a 1,000</w:t>
            </w:r>
          </w:p>
        </w:tc>
        <w:tc>
          <w:tcPr>
            <w:tcW w:w="1985" w:type="dxa"/>
          </w:tcPr>
          <w:p w14:paraId="528A09A6" w14:textId="77777777" w:rsidR="00ED5F23" w:rsidRPr="003B6FA2" w:rsidRDefault="00ED5F23" w:rsidP="003B6FA2">
            <w:pPr>
              <w:spacing w:before="60" w:afterLines="60" w:after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FA2">
              <w:rPr>
                <w:rFonts w:ascii="Arial" w:hAnsi="Arial" w:cs="Arial"/>
                <w:sz w:val="18"/>
                <w:szCs w:val="18"/>
              </w:rPr>
              <w:t>1.5 Mbps</w:t>
            </w:r>
          </w:p>
        </w:tc>
      </w:tr>
      <w:tr w:rsidR="00ED5F23" w:rsidRPr="00DC444D" w14:paraId="1B0CCF33" w14:textId="77777777" w:rsidTr="003B6FA2">
        <w:trPr>
          <w:trHeight w:hRule="exact" w:val="284"/>
        </w:trPr>
        <w:tc>
          <w:tcPr>
            <w:tcW w:w="3689" w:type="dxa"/>
          </w:tcPr>
          <w:p w14:paraId="02F27761" w14:textId="77777777" w:rsidR="00ED5F23" w:rsidRPr="003B6FA2" w:rsidRDefault="00ED5F23" w:rsidP="003B6FA2">
            <w:pPr>
              <w:spacing w:before="60" w:afterLines="60" w:after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FA2">
              <w:rPr>
                <w:rFonts w:ascii="Arial" w:hAnsi="Arial" w:cs="Arial"/>
                <w:sz w:val="18"/>
                <w:szCs w:val="18"/>
              </w:rPr>
              <w:t>1,001 a 2,000</w:t>
            </w:r>
          </w:p>
        </w:tc>
        <w:tc>
          <w:tcPr>
            <w:tcW w:w="1985" w:type="dxa"/>
          </w:tcPr>
          <w:p w14:paraId="2ADA7D7C" w14:textId="77777777" w:rsidR="00ED5F23" w:rsidRPr="003B6FA2" w:rsidRDefault="00ED5F23" w:rsidP="003B6FA2">
            <w:pPr>
              <w:spacing w:before="60" w:afterLines="60" w:after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FA2">
              <w:rPr>
                <w:rFonts w:ascii="Arial" w:hAnsi="Arial" w:cs="Arial"/>
                <w:sz w:val="18"/>
                <w:szCs w:val="18"/>
              </w:rPr>
              <w:t>2 Mbps</w:t>
            </w:r>
          </w:p>
        </w:tc>
      </w:tr>
      <w:tr w:rsidR="00ED5F23" w:rsidRPr="00DC444D" w14:paraId="3A0C6FF2" w14:textId="77777777" w:rsidTr="003B6FA2">
        <w:trPr>
          <w:trHeight w:hRule="exact" w:val="284"/>
        </w:trPr>
        <w:tc>
          <w:tcPr>
            <w:tcW w:w="3689" w:type="dxa"/>
          </w:tcPr>
          <w:p w14:paraId="55759724" w14:textId="77777777" w:rsidR="00ED5F23" w:rsidRPr="003B6FA2" w:rsidRDefault="00ED5F23" w:rsidP="003B6FA2">
            <w:pPr>
              <w:spacing w:before="60" w:afterLines="60" w:after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FA2">
              <w:rPr>
                <w:rFonts w:ascii="Arial" w:hAnsi="Arial" w:cs="Arial"/>
                <w:sz w:val="18"/>
                <w:szCs w:val="18"/>
              </w:rPr>
              <w:t>2,001 a 5,000</w:t>
            </w:r>
          </w:p>
        </w:tc>
        <w:tc>
          <w:tcPr>
            <w:tcW w:w="1985" w:type="dxa"/>
          </w:tcPr>
          <w:p w14:paraId="1B342216" w14:textId="77777777" w:rsidR="00ED5F23" w:rsidRPr="003B6FA2" w:rsidRDefault="00ED5F23" w:rsidP="003B6FA2">
            <w:pPr>
              <w:spacing w:before="60" w:afterLines="60" w:after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FA2">
              <w:rPr>
                <w:rFonts w:ascii="Arial" w:hAnsi="Arial" w:cs="Arial"/>
                <w:sz w:val="18"/>
                <w:szCs w:val="18"/>
              </w:rPr>
              <w:t>3 Mbps</w:t>
            </w:r>
          </w:p>
        </w:tc>
      </w:tr>
      <w:tr w:rsidR="00ED5F23" w:rsidRPr="00DC444D" w14:paraId="59A6B7C6" w14:textId="77777777" w:rsidTr="003B6FA2">
        <w:trPr>
          <w:trHeight w:hRule="exact" w:val="284"/>
        </w:trPr>
        <w:tc>
          <w:tcPr>
            <w:tcW w:w="3689" w:type="dxa"/>
          </w:tcPr>
          <w:p w14:paraId="0A2F7B79" w14:textId="77777777" w:rsidR="00ED5F23" w:rsidRPr="003B6FA2" w:rsidRDefault="00ED5F23" w:rsidP="003B6FA2">
            <w:pPr>
              <w:spacing w:before="60" w:afterLines="60" w:after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FA2">
              <w:rPr>
                <w:rFonts w:ascii="Arial" w:hAnsi="Arial" w:cs="Arial"/>
                <w:sz w:val="18"/>
                <w:szCs w:val="18"/>
              </w:rPr>
              <w:t>5,001 a 10,000</w:t>
            </w:r>
          </w:p>
        </w:tc>
        <w:tc>
          <w:tcPr>
            <w:tcW w:w="1985" w:type="dxa"/>
          </w:tcPr>
          <w:p w14:paraId="5AA07B4A" w14:textId="77777777" w:rsidR="00ED5F23" w:rsidRPr="003B6FA2" w:rsidRDefault="00ED5F23" w:rsidP="003B6FA2">
            <w:pPr>
              <w:spacing w:before="60" w:afterLines="60" w:after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FA2">
              <w:rPr>
                <w:rFonts w:ascii="Arial" w:hAnsi="Arial" w:cs="Arial"/>
                <w:sz w:val="18"/>
                <w:szCs w:val="18"/>
              </w:rPr>
              <w:t>4 Mbps</w:t>
            </w:r>
          </w:p>
        </w:tc>
      </w:tr>
      <w:tr w:rsidR="00ED5F23" w:rsidRPr="00DC444D" w14:paraId="37627374" w14:textId="77777777" w:rsidTr="003B6FA2">
        <w:trPr>
          <w:trHeight w:hRule="exact" w:val="284"/>
        </w:trPr>
        <w:tc>
          <w:tcPr>
            <w:tcW w:w="3689" w:type="dxa"/>
          </w:tcPr>
          <w:p w14:paraId="6BE5045D" w14:textId="77777777" w:rsidR="00ED5F23" w:rsidRPr="003B6FA2" w:rsidRDefault="00ED5F23" w:rsidP="003B6FA2">
            <w:pPr>
              <w:spacing w:before="60" w:afterLines="60" w:after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FA2">
              <w:rPr>
                <w:rFonts w:ascii="Arial" w:hAnsi="Arial" w:cs="Arial"/>
                <w:sz w:val="18"/>
                <w:szCs w:val="18"/>
              </w:rPr>
              <w:t>10,001 a 20,000</w:t>
            </w:r>
          </w:p>
        </w:tc>
        <w:tc>
          <w:tcPr>
            <w:tcW w:w="1985" w:type="dxa"/>
          </w:tcPr>
          <w:p w14:paraId="4BE55108" w14:textId="77777777" w:rsidR="00ED5F23" w:rsidRPr="003B6FA2" w:rsidRDefault="00ED5F23" w:rsidP="003B6FA2">
            <w:pPr>
              <w:spacing w:before="60" w:afterLines="60" w:after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FA2">
              <w:rPr>
                <w:rFonts w:ascii="Arial" w:hAnsi="Arial" w:cs="Arial"/>
                <w:sz w:val="18"/>
                <w:szCs w:val="18"/>
              </w:rPr>
              <w:t>5 Mbps</w:t>
            </w:r>
          </w:p>
        </w:tc>
      </w:tr>
      <w:tr w:rsidR="004F777B" w:rsidRPr="00DC444D" w14:paraId="1199834D" w14:textId="77777777" w:rsidTr="003B6FA2">
        <w:trPr>
          <w:trHeight w:hRule="exact" w:val="284"/>
        </w:trPr>
        <w:tc>
          <w:tcPr>
            <w:tcW w:w="3689" w:type="dxa"/>
          </w:tcPr>
          <w:p w14:paraId="56F3F0EC" w14:textId="77777777" w:rsidR="004F777B" w:rsidRPr="003B6FA2" w:rsidRDefault="004F777B" w:rsidP="003B6FA2">
            <w:pPr>
              <w:spacing w:before="60" w:afterLines="60" w:after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FA2">
              <w:rPr>
                <w:rFonts w:ascii="Arial" w:hAnsi="Arial" w:cs="Arial"/>
                <w:sz w:val="18"/>
                <w:szCs w:val="18"/>
              </w:rPr>
              <w:t>Más de 20,000</w:t>
            </w:r>
          </w:p>
        </w:tc>
        <w:tc>
          <w:tcPr>
            <w:tcW w:w="1985" w:type="dxa"/>
          </w:tcPr>
          <w:p w14:paraId="676E6805" w14:textId="77777777" w:rsidR="004F777B" w:rsidRPr="003B6FA2" w:rsidRDefault="004F777B" w:rsidP="003B6FA2">
            <w:pPr>
              <w:spacing w:before="60" w:afterLines="60" w:after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FA2">
              <w:rPr>
                <w:rFonts w:ascii="Arial" w:hAnsi="Arial" w:cs="Arial"/>
                <w:sz w:val="18"/>
                <w:szCs w:val="18"/>
              </w:rPr>
              <w:t>10 Mbps</w:t>
            </w:r>
          </w:p>
        </w:tc>
      </w:tr>
    </w:tbl>
    <w:p w14:paraId="494EE1A3" w14:textId="4D88DC50" w:rsidR="00463380" w:rsidRDefault="00463380" w:rsidP="003B6FA2">
      <w:pPr>
        <w:pStyle w:val="Inciso"/>
        <w:ind w:left="1418"/>
      </w:pPr>
      <w:r>
        <w:t xml:space="preserve">En el punto de acceso a su intranet, </w:t>
      </w:r>
      <w:r w:rsidR="00B825B8">
        <w:t xml:space="preserve">la Central Eléctrica o Centro de Carga </w:t>
      </w:r>
      <w:r>
        <w:t>debe implementar un firewall, en cuya interfaz</w:t>
      </w:r>
      <w:r w:rsidR="007F1191">
        <w:t xml:space="preserve"> externa</w:t>
      </w:r>
      <w:r>
        <w:t xml:space="preserve"> aplicará los parámetros de </w:t>
      </w:r>
      <w:r w:rsidR="00B825B8">
        <w:t xml:space="preserve">comunicación </w:t>
      </w:r>
      <w:r>
        <w:t xml:space="preserve">de la conectividad </w:t>
      </w:r>
      <w:r w:rsidR="007F1191">
        <w:t>IP</w:t>
      </w:r>
      <w:r w:rsidR="005974C3">
        <w:t>-</w:t>
      </w:r>
      <w:r>
        <w:t xml:space="preserve">MPLS que indique el </w:t>
      </w:r>
      <w:r w:rsidR="007F1191">
        <w:t xml:space="preserve">Transportista o </w:t>
      </w:r>
      <w:r>
        <w:t xml:space="preserve">Distribuidor. El extremo del </w:t>
      </w:r>
      <w:r w:rsidR="002F4285">
        <w:t>medio de comunicación</w:t>
      </w:r>
      <w:r w:rsidR="002F4285" w:rsidDel="002F4285">
        <w:t xml:space="preserve"> </w:t>
      </w:r>
      <w:r w:rsidR="007F1191">
        <w:t>IP</w:t>
      </w:r>
      <w:r w:rsidR="002F4285">
        <w:t>-</w:t>
      </w:r>
      <w:r>
        <w:t xml:space="preserve">MPLS que corresponda a las instalaciones de </w:t>
      </w:r>
      <w:r w:rsidR="00B825B8">
        <w:t xml:space="preserve">Central Eléctrica </w:t>
      </w:r>
      <w:r w:rsidR="007F1191">
        <w:t xml:space="preserve">o </w:t>
      </w:r>
      <w:r w:rsidR="005A47FC">
        <w:t>Ce</w:t>
      </w:r>
      <w:r w:rsidR="00B825B8">
        <w:t>n</w:t>
      </w:r>
      <w:r w:rsidR="005A47FC">
        <w:t>tro de Carga</w:t>
      </w:r>
      <w:r>
        <w:t xml:space="preserve"> debe conectarse en forma directa a este firewall.</w:t>
      </w:r>
    </w:p>
    <w:p w14:paraId="7232FAAF" w14:textId="20182814" w:rsidR="00463380" w:rsidRDefault="00463380" w:rsidP="003B6FA2">
      <w:pPr>
        <w:pStyle w:val="Inciso"/>
        <w:ind w:left="1418"/>
      </w:pPr>
      <w:r>
        <w:t xml:space="preserve">En coordinación con el </w:t>
      </w:r>
      <w:r w:rsidR="004F777B">
        <w:t xml:space="preserve">Transportista o </w:t>
      </w:r>
      <w:r>
        <w:t>Distribuidor</w:t>
      </w:r>
      <w:r w:rsidR="00445431">
        <w:t>,</w:t>
      </w:r>
      <w:r w:rsidR="004F777B">
        <w:t xml:space="preserve"> según corresponda</w:t>
      </w:r>
      <w:r>
        <w:t xml:space="preserve">, </w:t>
      </w:r>
      <w:r w:rsidR="00B2047D">
        <w:t xml:space="preserve">la Central Eléctrica o el Centro de Carga </w:t>
      </w:r>
      <w:r>
        <w:t xml:space="preserve">establecerá una conexión de red privada virtual (VPN) entre el firewall en el punto de acceso a su intranet y el firewall que el </w:t>
      </w:r>
      <w:r w:rsidR="00445431">
        <w:t>Transportista o D</w:t>
      </w:r>
      <w:r>
        <w:t xml:space="preserve">istribuidor indique en el </w:t>
      </w:r>
      <w:r w:rsidR="00447550">
        <w:t>Punto de Conectividad</w:t>
      </w:r>
      <w:r>
        <w:t xml:space="preserve">. El firewall implementado por </w:t>
      </w:r>
      <w:r w:rsidR="00CD067C">
        <w:t>la Central Eléctrica o el Centro de Carga</w:t>
      </w:r>
      <w:r>
        <w:t xml:space="preserve"> hará la conversión del direccionamiento desde la Intranet del cliente hacia el direccionamiento establecido por el</w:t>
      </w:r>
      <w:r w:rsidR="004F777B">
        <w:t xml:space="preserve"> Transportista o</w:t>
      </w:r>
      <w:r>
        <w:t xml:space="preserve"> Distribuidor.</w:t>
      </w:r>
    </w:p>
    <w:p w14:paraId="28C80EED" w14:textId="629FA6FD" w:rsidR="00463380" w:rsidRDefault="00B2047D" w:rsidP="003B6FA2">
      <w:pPr>
        <w:pStyle w:val="Inciso"/>
        <w:ind w:left="1418"/>
      </w:pPr>
      <w:r>
        <w:t xml:space="preserve">La Central Eléctrica o el Centro de Carga </w:t>
      </w:r>
      <w:r w:rsidR="00463380">
        <w:t xml:space="preserve">proporcionará la conectividad </w:t>
      </w:r>
      <w:r w:rsidR="003B6FA2">
        <w:t>Ethernet</w:t>
      </w:r>
      <w:r w:rsidR="00463380">
        <w:t xml:space="preserve"> a través de su intranet desde el firewall en el punto de acceso a su intranet hasta </w:t>
      </w:r>
      <w:r w:rsidR="001D2430">
        <w:t xml:space="preserve">el </w:t>
      </w:r>
      <w:r w:rsidR="00463380">
        <w:t xml:space="preserve">puerto </w:t>
      </w:r>
      <w:r w:rsidR="003B6FA2">
        <w:t>Ethernet</w:t>
      </w:r>
      <w:r w:rsidR="00463380">
        <w:t xml:space="preserve"> del </w:t>
      </w:r>
      <w:r>
        <w:t>M</w:t>
      </w:r>
      <w:r w:rsidR="00463380">
        <w:t xml:space="preserve">edidor </w:t>
      </w:r>
      <w:r>
        <w:t>M</w:t>
      </w:r>
      <w:r w:rsidR="005A47FC">
        <w:t xml:space="preserve">ultifunción </w:t>
      </w:r>
      <w:r>
        <w:t>para</w:t>
      </w:r>
      <w:r w:rsidR="005A47FC">
        <w:t xml:space="preserve"> </w:t>
      </w:r>
      <w:r>
        <w:t>L</w:t>
      </w:r>
      <w:r w:rsidR="005A47FC">
        <w:t>iquidaciones</w:t>
      </w:r>
      <w:r w:rsidR="001D2430">
        <w:t xml:space="preserve">. </w:t>
      </w:r>
      <w:r w:rsidR="005A47FC">
        <w:t>El</w:t>
      </w:r>
      <w:r w:rsidR="00463380">
        <w:t xml:space="preserve"> </w:t>
      </w:r>
      <w:r w:rsidR="004F777B">
        <w:t xml:space="preserve">Transportista o </w:t>
      </w:r>
      <w:r>
        <w:t xml:space="preserve">el </w:t>
      </w:r>
      <w:r w:rsidR="00463380">
        <w:t xml:space="preserve">Distribuidor </w:t>
      </w:r>
      <w:r w:rsidR="005A47FC">
        <w:t xml:space="preserve">proporcionará </w:t>
      </w:r>
      <w:r w:rsidR="00463380">
        <w:t>los parámetros de configuración TCP/IP</w:t>
      </w:r>
      <w:r w:rsidR="004F777B">
        <w:t xml:space="preserve"> necesarios</w:t>
      </w:r>
      <w:r w:rsidR="00463380">
        <w:t xml:space="preserve"> para </w:t>
      </w:r>
      <w:r w:rsidR="004F777B">
        <w:t>conectar</w:t>
      </w:r>
      <w:r w:rsidR="00463380">
        <w:t xml:space="preserve"> el firewall </w:t>
      </w:r>
      <w:r w:rsidR="005A47FC">
        <w:t>de</w:t>
      </w:r>
      <w:r w:rsidR="0097633F">
        <w:t xml:space="preserve"> </w:t>
      </w:r>
      <w:r w:rsidR="005A47FC">
        <w:t>l</w:t>
      </w:r>
      <w:r w:rsidR="0097633F">
        <w:t xml:space="preserve">a Intranet </w:t>
      </w:r>
      <w:r w:rsidR="008455B8">
        <w:t>de la Central Eléctrica o del</w:t>
      </w:r>
      <w:r w:rsidR="005A47FC">
        <w:t xml:space="preserve"> </w:t>
      </w:r>
      <w:r w:rsidR="00EB156C">
        <w:t>C</w:t>
      </w:r>
      <w:r w:rsidR="005A47FC">
        <w:t xml:space="preserve">entro de </w:t>
      </w:r>
      <w:r w:rsidR="00EB156C">
        <w:t>C</w:t>
      </w:r>
      <w:r w:rsidR="005A47FC">
        <w:t xml:space="preserve">arga </w:t>
      </w:r>
      <w:r w:rsidR="00463380">
        <w:t xml:space="preserve">y el </w:t>
      </w:r>
      <w:r>
        <w:t>M</w:t>
      </w:r>
      <w:r w:rsidR="00463380">
        <w:t xml:space="preserve">edidor </w:t>
      </w:r>
      <w:r>
        <w:t>M</w:t>
      </w:r>
      <w:r w:rsidR="005A47FC">
        <w:t xml:space="preserve">ultifunción </w:t>
      </w:r>
      <w:r>
        <w:t>para</w:t>
      </w:r>
      <w:r w:rsidR="005A47FC">
        <w:t xml:space="preserve"> </w:t>
      </w:r>
      <w:r>
        <w:t>L</w:t>
      </w:r>
      <w:r w:rsidR="005A47FC">
        <w:t>iquidaciones</w:t>
      </w:r>
    </w:p>
    <w:p w14:paraId="1DF15D9C" w14:textId="53EE8313" w:rsidR="00463380" w:rsidRDefault="00B2047D" w:rsidP="003B6FA2">
      <w:pPr>
        <w:pStyle w:val="Inciso"/>
        <w:ind w:left="1418"/>
      </w:pPr>
      <w:r>
        <w:t>La Central Eléctrica y el Centro de Carga son</w:t>
      </w:r>
      <w:r w:rsidR="005A47FC">
        <w:t xml:space="preserve"> responsable</w:t>
      </w:r>
      <w:r>
        <w:t>s</w:t>
      </w:r>
      <w:r w:rsidR="005A47FC">
        <w:t xml:space="preserve"> del </w:t>
      </w:r>
      <w:r w:rsidR="00B825B8">
        <w:t>f</w:t>
      </w:r>
      <w:r w:rsidR="005A47FC">
        <w:t>irewall de su intranet</w:t>
      </w:r>
      <w:r w:rsidR="00463380">
        <w:t>.</w:t>
      </w:r>
    </w:p>
    <w:p w14:paraId="64C530BD" w14:textId="581A219A" w:rsidR="002F4285" w:rsidRDefault="002F4285" w:rsidP="003B6FA2">
      <w:pPr>
        <w:pStyle w:val="Inciso"/>
        <w:ind w:left="1418"/>
      </w:pPr>
      <w:r>
        <w:t xml:space="preserve">En caso de no cumplir con el desempeño señalado en el inciso b) anterior, el Transportista o Distribuidor podrá solicitar a la Central Eléctrica o al Centro de Carga que incremente la capacidad del canal de acceso a internet en sus instalaciones, </w:t>
      </w:r>
      <w:r w:rsidR="005A0FC0">
        <w:rPr>
          <w:color w:val="000000"/>
        </w:rPr>
        <w:t>la capacidad necesaria para cumplir con el desempeño establecido en el inciso (b) anterior</w:t>
      </w:r>
      <w:r>
        <w:t>.</w:t>
      </w:r>
    </w:p>
    <w:p w14:paraId="4FA0F666" w14:textId="77777777" w:rsidR="00672FDD" w:rsidRDefault="00672FDD" w:rsidP="003B6FA2">
      <w:pPr>
        <w:pStyle w:val="Inciso"/>
        <w:numPr>
          <w:ilvl w:val="0"/>
          <w:numId w:val="0"/>
        </w:numPr>
        <w:ind w:left="1418"/>
      </w:pPr>
    </w:p>
    <w:p w14:paraId="25B8499D" w14:textId="77777777" w:rsidR="003B6FA2" w:rsidRDefault="003B6FA2" w:rsidP="003B6FA2">
      <w:pPr>
        <w:pStyle w:val="Inciso"/>
        <w:numPr>
          <w:ilvl w:val="0"/>
          <w:numId w:val="0"/>
        </w:numPr>
        <w:ind w:left="1418"/>
      </w:pPr>
    </w:p>
    <w:p w14:paraId="29ECD398" w14:textId="77777777" w:rsidR="003B6FA2" w:rsidRDefault="003B6FA2" w:rsidP="003B6FA2">
      <w:pPr>
        <w:pStyle w:val="Inciso"/>
        <w:numPr>
          <w:ilvl w:val="0"/>
          <w:numId w:val="0"/>
        </w:numPr>
        <w:ind w:left="1418"/>
      </w:pPr>
    </w:p>
    <w:p w14:paraId="6D1980E4" w14:textId="383E0F19" w:rsidR="00ED5F23" w:rsidRPr="003B6FA2" w:rsidRDefault="00463380" w:rsidP="003B6FA2">
      <w:pPr>
        <w:pStyle w:val="Numeral"/>
        <w:rPr>
          <w:b/>
        </w:rPr>
      </w:pPr>
      <w:r w:rsidRPr="003B6FA2">
        <w:rPr>
          <w:b/>
        </w:rPr>
        <w:lastRenderedPageBreak/>
        <w:t xml:space="preserve">Alternativa </w:t>
      </w:r>
      <w:r w:rsidR="00672FDD">
        <w:rPr>
          <w:b/>
        </w:rPr>
        <w:t>C</w:t>
      </w:r>
      <w:r w:rsidRPr="003B6FA2">
        <w:rPr>
          <w:b/>
        </w:rPr>
        <w:t xml:space="preserve">. Conectividad por IP pública de internet directa </w:t>
      </w:r>
      <w:r w:rsidR="00B2047D">
        <w:rPr>
          <w:b/>
        </w:rPr>
        <w:t>desde</w:t>
      </w:r>
      <w:r w:rsidR="00B2047D" w:rsidRPr="003B6FA2">
        <w:rPr>
          <w:b/>
        </w:rPr>
        <w:t xml:space="preserve"> </w:t>
      </w:r>
      <w:r w:rsidRPr="003B6FA2">
        <w:rPr>
          <w:b/>
        </w:rPr>
        <w:t xml:space="preserve">el </w:t>
      </w:r>
      <w:r w:rsidR="00B2047D">
        <w:rPr>
          <w:b/>
        </w:rPr>
        <w:t>M</w:t>
      </w:r>
      <w:r w:rsidR="00FC75CA" w:rsidRPr="003B6FA2">
        <w:rPr>
          <w:b/>
        </w:rPr>
        <w:t>edidor</w:t>
      </w:r>
      <w:r w:rsidR="00B2047D">
        <w:rPr>
          <w:b/>
        </w:rPr>
        <w:t xml:space="preserve"> Multifunción para Liquidaciones</w:t>
      </w:r>
    </w:p>
    <w:p w14:paraId="0672A2DE" w14:textId="77777777" w:rsidR="00FC75CA" w:rsidRDefault="008A6C12" w:rsidP="001C3343">
      <w:pPr>
        <w:pStyle w:val="Inciso"/>
        <w:numPr>
          <w:ilvl w:val="0"/>
          <w:numId w:val="0"/>
        </w:numPr>
        <w:ind w:left="851"/>
      </w:pPr>
      <w:r w:rsidRPr="008A6C12">
        <w:rPr>
          <w:noProof/>
          <w:lang w:eastAsia="es-MX" w:bidi="ar-SA"/>
        </w:rPr>
        <w:drawing>
          <wp:inline distT="0" distB="0" distL="0" distR="0" wp14:anchorId="06C9EFA5" wp14:editId="0BFB4477">
            <wp:extent cx="5061321" cy="2948142"/>
            <wp:effectExtent l="25400" t="25400" r="19050" b="2413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86826" cy="296299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6DED1D2" w14:textId="3FD6023E" w:rsidR="007D6F88" w:rsidRDefault="00672FDD" w:rsidP="007D6F88">
      <w:pPr>
        <w:pStyle w:val="Numeral"/>
        <w:numPr>
          <w:ilvl w:val="0"/>
          <w:numId w:val="0"/>
        </w:numPr>
        <w:jc w:val="center"/>
      </w:pPr>
      <w:r w:rsidRPr="00672FDD">
        <w:rPr>
          <w:rFonts w:asciiTheme="minorHAnsi" w:hAnsiTheme="minorHAnsi" w:cstheme="minorBidi"/>
          <w:noProof/>
          <w:sz w:val="24"/>
          <w:szCs w:val="24"/>
          <w:lang w:val="en-US" w:bidi="ar-SA"/>
        </w:rPr>
        <w:t xml:space="preserve"> </w:t>
      </w:r>
    </w:p>
    <w:p w14:paraId="68D23120" w14:textId="7BF7DC7E" w:rsidR="00463380" w:rsidRDefault="00CD067C" w:rsidP="003B6FA2">
      <w:pPr>
        <w:pStyle w:val="Inciso"/>
        <w:ind w:left="1276"/>
      </w:pPr>
      <w:r>
        <w:t xml:space="preserve">La Central Eléctrica o el Centro de Carga </w:t>
      </w:r>
      <w:r w:rsidR="00463380">
        <w:t xml:space="preserve">implementará en cada instalación a su cargo donde exista un </w:t>
      </w:r>
      <w:r>
        <w:t>Medidor Multifunción para Liquidaciones</w:t>
      </w:r>
      <w:r w:rsidR="00463380">
        <w:t xml:space="preserve">, un </w:t>
      </w:r>
      <w:r w:rsidR="008455B8">
        <w:t xml:space="preserve">medio </w:t>
      </w:r>
      <w:r w:rsidR="00463380">
        <w:t xml:space="preserve">de comunicación con tecnología comercial hacia Internet con un ancho de banda simétrico de al menos 256 kbps y con dirección IP fija y pública. Este acceso a </w:t>
      </w:r>
      <w:r>
        <w:t>i</w:t>
      </w:r>
      <w:r w:rsidR="00463380">
        <w:t xml:space="preserve">nternet debe utilizarse exclusivamente para el envío </w:t>
      </w:r>
      <w:r w:rsidR="00FC75CA">
        <w:t xml:space="preserve">y adquisición </w:t>
      </w:r>
      <w:r w:rsidR="00463380">
        <w:t xml:space="preserve">de </w:t>
      </w:r>
      <w:r w:rsidR="00FC75CA">
        <w:t xml:space="preserve">los registros </w:t>
      </w:r>
      <w:r w:rsidR="00463380">
        <w:t xml:space="preserve">de medición </w:t>
      </w:r>
      <w:r w:rsidR="00FC75CA">
        <w:t xml:space="preserve">para </w:t>
      </w:r>
      <w:r w:rsidR="003B6FA2">
        <w:t>liquidaciones</w:t>
      </w:r>
      <w:r w:rsidR="00FC75CA">
        <w:t xml:space="preserve"> </w:t>
      </w:r>
      <w:r>
        <w:t>por parte  d</w:t>
      </w:r>
      <w:r w:rsidR="00463380">
        <w:t>el</w:t>
      </w:r>
      <w:r w:rsidR="00FC75CA">
        <w:t xml:space="preserve"> Transportista o</w:t>
      </w:r>
      <w:r w:rsidR="00463380">
        <w:t xml:space="preserve"> Distribuidor. </w:t>
      </w:r>
    </w:p>
    <w:p w14:paraId="62B39168" w14:textId="3175CABE" w:rsidR="00463380" w:rsidRDefault="00CD067C" w:rsidP="003B6FA2">
      <w:pPr>
        <w:pStyle w:val="Inciso"/>
        <w:ind w:left="1276"/>
      </w:pPr>
      <w:r>
        <w:t>La Central Eléctrica o el Centro de Carga</w:t>
      </w:r>
      <w:r w:rsidR="003B6FA2">
        <w:t xml:space="preserve"> </w:t>
      </w:r>
      <w:r w:rsidR="00463380">
        <w:t>proporcionará, para cada un</w:t>
      </w:r>
      <w:r>
        <w:t>o</w:t>
      </w:r>
      <w:r w:rsidR="00463380">
        <w:t xml:space="preserve"> de los </w:t>
      </w:r>
      <w:r>
        <w:t>Medidores Multifunción para Liquidaciones</w:t>
      </w:r>
      <w:r w:rsidR="003B6FA2">
        <w:t xml:space="preserve"> </w:t>
      </w:r>
      <w:r w:rsidR="00463380">
        <w:t xml:space="preserve">ubicados en sus instalaciones que utilice esta alternativa de </w:t>
      </w:r>
      <w:r>
        <w:t>conectividad</w:t>
      </w:r>
      <w:r w:rsidR="00463380">
        <w:t xml:space="preserve">, un firewall que se conectará en forma directa entre el puerto </w:t>
      </w:r>
      <w:r w:rsidR="003B6FA2">
        <w:t>Ethernet</w:t>
      </w:r>
      <w:r w:rsidR="00463380">
        <w:t xml:space="preserve"> del </w:t>
      </w:r>
      <w:r>
        <w:t>M</w:t>
      </w:r>
      <w:r w:rsidR="00463380">
        <w:t xml:space="preserve">edidor </w:t>
      </w:r>
      <w:r>
        <w:t>Multifunción para Liquidaciones</w:t>
      </w:r>
      <w:r w:rsidR="003B6FA2">
        <w:t xml:space="preserve"> </w:t>
      </w:r>
      <w:r w:rsidR="00463380">
        <w:t xml:space="preserve">y el canal de acceso a </w:t>
      </w:r>
      <w:r>
        <w:t>i</w:t>
      </w:r>
      <w:r w:rsidR="00463380">
        <w:t xml:space="preserve">nternet con la dirección IP </w:t>
      </w:r>
      <w:r w:rsidR="00EB156C">
        <w:t>fija y p</w:t>
      </w:r>
      <w:r w:rsidR="00463380">
        <w:t>ública.</w:t>
      </w:r>
    </w:p>
    <w:p w14:paraId="1DDE3B7E" w14:textId="1D6D4EC9" w:rsidR="00463380" w:rsidRDefault="00463380" w:rsidP="003B6FA2">
      <w:pPr>
        <w:pStyle w:val="Inciso"/>
        <w:ind w:left="1276"/>
      </w:pPr>
      <w:r>
        <w:t xml:space="preserve">La administración del firewall conectado al puerto </w:t>
      </w:r>
      <w:r w:rsidR="003B6FA2">
        <w:t>Ethernet</w:t>
      </w:r>
      <w:r>
        <w:t xml:space="preserve"> del </w:t>
      </w:r>
      <w:r w:rsidR="00CD067C">
        <w:t>Medidor Multifunción para Liquidaciones</w:t>
      </w:r>
      <w:r w:rsidR="003B6FA2">
        <w:t xml:space="preserve"> </w:t>
      </w:r>
      <w:r>
        <w:t xml:space="preserve">estará a cargo del </w:t>
      </w:r>
      <w:r w:rsidR="00E104FD">
        <w:t xml:space="preserve">Transportista o </w:t>
      </w:r>
      <w:r>
        <w:t>Distribuidor,</w:t>
      </w:r>
      <w:r w:rsidR="00CD067C">
        <w:t xml:space="preserve"> y</w:t>
      </w:r>
      <w:r>
        <w:t xml:space="preserve"> </w:t>
      </w:r>
      <w:r w:rsidR="00CD067C">
        <w:t xml:space="preserve">la Central Eléctrica o el Centro de Carga deberá proporcionar </w:t>
      </w:r>
      <w:r>
        <w:t xml:space="preserve">las facilidades necesarias para ello. </w:t>
      </w:r>
    </w:p>
    <w:p w14:paraId="719D1C26" w14:textId="583BF407" w:rsidR="00463380" w:rsidRDefault="00463380" w:rsidP="003B6FA2">
      <w:pPr>
        <w:pStyle w:val="Inciso"/>
        <w:ind w:left="1276"/>
      </w:pPr>
      <w:r>
        <w:t xml:space="preserve">El mantenimiento físico y sustitución por falla del firewall conectado al puerto </w:t>
      </w:r>
      <w:r w:rsidR="003B6FA2">
        <w:t>Ethernet</w:t>
      </w:r>
      <w:r>
        <w:t xml:space="preserve"> del </w:t>
      </w:r>
      <w:r w:rsidR="00CD067C">
        <w:t>Medidor Multifunción para Liquidaciones</w:t>
      </w:r>
      <w:r w:rsidR="003B6FA2">
        <w:t xml:space="preserve"> </w:t>
      </w:r>
      <w:r>
        <w:t xml:space="preserve">estará a cargo </w:t>
      </w:r>
      <w:r w:rsidR="00CD067C">
        <w:t>de la Central Eléctrica o el Centro de Carga</w:t>
      </w:r>
      <w:proofErr w:type="gramStart"/>
      <w:r w:rsidR="00CD067C">
        <w:t>.</w:t>
      </w:r>
      <w:r>
        <w:t>.</w:t>
      </w:r>
      <w:proofErr w:type="gramEnd"/>
    </w:p>
    <w:p w14:paraId="334DD3AB" w14:textId="0D707BBC" w:rsidR="00463380" w:rsidRDefault="00463380" w:rsidP="003B6FA2">
      <w:pPr>
        <w:pStyle w:val="Inciso"/>
        <w:ind w:left="1276"/>
      </w:pPr>
      <w:r>
        <w:t xml:space="preserve">En caso de no cumplir con </w:t>
      </w:r>
      <w:r w:rsidR="004D64CE">
        <w:t xml:space="preserve">el </w:t>
      </w:r>
      <w:r>
        <w:t>desempeño</w:t>
      </w:r>
      <w:r w:rsidR="004D64CE">
        <w:t xml:space="preserve"> señalado en el </w:t>
      </w:r>
      <w:r w:rsidR="00DC444D">
        <w:t>inciso (a) anterior</w:t>
      </w:r>
      <w:r>
        <w:t xml:space="preserve">, el </w:t>
      </w:r>
      <w:r w:rsidR="00E104FD">
        <w:t xml:space="preserve">Transportista o </w:t>
      </w:r>
      <w:r>
        <w:t xml:space="preserve">Distribuidor podrá solicitar </w:t>
      </w:r>
      <w:r w:rsidR="00DC444D">
        <w:t>a la Central Eléctrica o a</w:t>
      </w:r>
      <w:r w:rsidR="00CD067C">
        <w:t xml:space="preserve">l Centro de Carga </w:t>
      </w:r>
      <w:r>
        <w:t>que incremente la capacidad del canal de acceso a internet en sus instalaciones</w:t>
      </w:r>
      <w:r w:rsidR="004D64CE">
        <w:t>,</w:t>
      </w:r>
      <w:r>
        <w:t xml:space="preserve"> </w:t>
      </w:r>
      <w:r w:rsidR="005A0FC0">
        <w:rPr>
          <w:color w:val="000000"/>
        </w:rPr>
        <w:t>hasta la capacidad necesaria para cumplir con el desempeño establecido en el inciso (a) anterior</w:t>
      </w:r>
      <w:r>
        <w:t>.</w:t>
      </w:r>
    </w:p>
    <w:p w14:paraId="30FD04A9" w14:textId="77777777" w:rsidR="00DC444D" w:rsidRDefault="00DC444D" w:rsidP="003B6FA2">
      <w:pPr>
        <w:pStyle w:val="Numeral"/>
        <w:numPr>
          <w:ilvl w:val="0"/>
          <w:numId w:val="0"/>
        </w:numPr>
        <w:ind w:left="851"/>
      </w:pPr>
    </w:p>
    <w:p w14:paraId="7D7E3399" w14:textId="77777777" w:rsidR="003B6FA2" w:rsidRPr="00DC444D" w:rsidRDefault="003B6FA2" w:rsidP="003B6FA2">
      <w:pPr>
        <w:pStyle w:val="Numeral"/>
        <w:numPr>
          <w:ilvl w:val="0"/>
          <w:numId w:val="0"/>
        </w:numPr>
        <w:ind w:left="851"/>
      </w:pPr>
    </w:p>
    <w:p w14:paraId="4BBE1652" w14:textId="541C9405" w:rsidR="00463380" w:rsidRPr="003B6FA2" w:rsidRDefault="00463380" w:rsidP="003B6FA2">
      <w:pPr>
        <w:pStyle w:val="Numeral"/>
        <w:rPr>
          <w:b/>
        </w:rPr>
      </w:pPr>
      <w:r w:rsidRPr="003B6FA2">
        <w:rPr>
          <w:b/>
        </w:rPr>
        <w:lastRenderedPageBreak/>
        <w:t xml:space="preserve">Alternativa </w:t>
      </w:r>
      <w:r w:rsidR="00CD636D">
        <w:rPr>
          <w:b/>
        </w:rPr>
        <w:t>D</w:t>
      </w:r>
      <w:r w:rsidRPr="003B6FA2">
        <w:rPr>
          <w:b/>
        </w:rPr>
        <w:t xml:space="preserve">. Conectividad VPN sobre internet </w:t>
      </w:r>
      <w:r w:rsidR="00CD067C" w:rsidRPr="003B6FA2">
        <w:rPr>
          <w:b/>
        </w:rPr>
        <w:t xml:space="preserve">desde </w:t>
      </w:r>
      <w:r w:rsidRPr="003B6FA2">
        <w:rPr>
          <w:b/>
        </w:rPr>
        <w:t>la intranet de</w:t>
      </w:r>
      <w:r w:rsidR="00CD067C" w:rsidRPr="003B6FA2">
        <w:rPr>
          <w:b/>
        </w:rPr>
        <w:t xml:space="preserve"> la Central Eléctrica o del Centro de Carga </w:t>
      </w:r>
    </w:p>
    <w:p w14:paraId="566B2167" w14:textId="67676DB0" w:rsidR="00463380" w:rsidRDefault="00CD636D" w:rsidP="00DC444D">
      <w:pPr>
        <w:pStyle w:val="Numeral"/>
        <w:numPr>
          <w:ilvl w:val="0"/>
          <w:numId w:val="0"/>
        </w:numPr>
        <w:ind w:left="851"/>
        <w:jc w:val="center"/>
      </w:pPr>
      <w:r w:rsidRPr="00CD636D">
        <w:rPr>
          <w:noProof/>
          <w:lang w:eastAsia="es-MX" w:bidi="ar-SA"/>
        </w:rPr>
        <w:drawing>
          <wp:inline distT="0" distB="0" distL="0" distR="0" wp14:anchorId="2AB300A4" wp14:editId="5EFD55F5">
            <wp:extent cx="5035985" cy="3398292"/>
            <wp:effectExtent l="19050" t="19050" r="12700" b="12065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57715" cy="34129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1100408" w14:textId="6878043C" w:rsidR="00463380" w:rsidRDefault="008455B8" w:rsidP="003B6FA2">
      <w:pPr>
        <w:pStyle w:val="Inciso"/>
        <w:ind w:left="1276"/>
      </w:pPr>
      <w:r>
        <w:t>La Central Eléctrica o el Centro de Carga</w:t>
      </w:r>
      <w:r w:rsidRPr="001C3343">
        <w:t xml:space="preserve"> </w:t>
      </w:r>
      <w:r w:rsidR="00463380">
        <w:t xml:space="preserve">implementará en una instalación a su cargo, un </w:t>
      </w:r>
      <w:r>
        <w:t xml:space="preserve">medio </w:t>
      </w:r>
      <w:r w:rsidR="00463380">
        <w:t>de comunicación con tecnología comercial hacia Internet</w:t>
      </w:r>
      <w:r w:rsidR="00226F08">
        <w:t>, el cual debe utilizarse exclusivamente para el envío y adquisición de los registros de medición para liquidaci</w:t>
      </w:r>
      <w:r w:rsidR="000F1E89">
        <w:t>ones</w:t>
      </w:r>
      <w:r w:rsidR="00226F08">
        <w:t xml:space="preserve"> </w:t>
      </w:r>
      <w:r>
        <w:t>por parte d</w:t>
      </w:r>
      <w:r w:rsidR="00226F08">
        <w:t xml:space="preserve">el Transportista o Distribuidor. Dicho </w:t>
      </w:r>
      <w:r>
        <w:t xml:space="preserve">medio de comunicación </w:t>
      </w:r>
      <w:r w:rsidR="0097633F">
        <w:t xml:space="preserve">hacia </w:t>
      </w:r>
      <w:r w:rsidR="00226F08">
        <w:t>internet será el</w:t>
      </w:r>
      <w:r w:rsidR="00463380">
        <w:t xml:space="preserve"> punto de acceso a su Intranet. </w:t>
      </w:r>
    </w:p>
    <w:p w14:paraId="6E778A55" w14:textId="700983B4" w:rsidR="00463380" w:rsidRDefault="00463380" w:rsidP="003B6FA2">
      <w:pPr>
        <w:pStyle w:val="Inciso"/>
        <w:ind w:left="1276"/>
      </w:pPr>
      <w:r>
        <w:t xml:space="preserve">El ancho de banda del </w:t>
      </w:r>
      <w:r w:rsidR="008455B8">
        <w:t xml:space="preserve">medio de comunicación </w:t>
      </w:r>
      <w:r>
        <w:t xml:space="preserve">hacia </w:t>
      </w:r>
      <w:r w:rsidR="008455B8">
        <w:t>i</w:t>
      </w:r>
      <w:r>
        <w:t xml:space="preserve">nternet debe ser simétrico y acorde </w:t>
      </w:r>
      <w:r w:rsidR="008455B8">
        <w:t>con</w:t>
      </w:r>
      <w:r>
        <w:t xml:space="preserve"> la cantidad de </w:t>
      </w:r>
      <w:r w:rsidR="008455B8">
        <w:t>Medidores Multifunción para Liquidaciones</w:t>
      </w:r>
      <w:r w:rsidR="00187DE4">
        <w:t xml:space="preserve"> cuyos registros </w:t>
      </w:r>
      <w:r>
        <w:t xml:space="preserve">de medición se </w:t>
      </w:r>
      <w:r w:rsidR="008455B8">
        <w:t>adquieran</w:t>
      </w:r>
      <w:r>
        <w:t xml:space="preserve"> a través de dicho </w:t>
      </w:r>
      <w:r w:rsidR="002F4285">
        <w:t>medio</w:t>
      </w:r>
      <w:r>
        <w:t xml:space="preserve">, de acuerdo </w:t>
      </w:r>
      <w:r w:rsidR="008455B8">
        <w:t>con lo señalado en</w:t>
      </w:r>
      <w:r>
        <w:t xml:space="preserve"> la siguiente tabla.</w:t>
      </w:r>
    </w:p>
    <w:tbl>
      <w:tblPr>
        <w:tblStyle w:val="Tablaconcuadrcula"/>
        <w:tblW w:w="0" w:type="auto"/>
        <w:tblInd w:w="2111" w:type="dxa"/>
        <w:tblLook w:val="04A0" w:firstRow="1" w:lastRow="0" w:firstColumn="1" w:lastColumn="0" w:noHBand="0" w:noVBand="1"/>
      </w:tblPr>
      <w:tblGrid>
        <w:gridCol w:w="3402"/>
        <w:gridCol w:w="2675"/>
      </w:tblGrid>
      <w:tr w:rsidR="00463380" w:rsidRPr="00DC444D" w14:paraId="12B2D11B" w14:textId="77777777" w:rsidTr="003B6FA2">
        <w:trPr>
          <w:trHeight w:hRule="exact" w:val="549"/>
        </w:trPr>
        <w:tc>
          <w:tcPr>
            <w:tcW w:w="3402" w:type="dxa"/>
          </w:tcPr>
          <w:p w14:paraId="7B02E080" w14:textId="48383CD7" w:rsidR="00463380" w:rsidRPr="003B6FA2" w:rsidRDefault="00463380" w:rsidP="003B6FA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3B6FA2">
              <w:rPr>
                <w:rFonts w:ascii="Arial" w:hAnsi="Arial" w:cs="Arial"/>
                <w:b/>
                <w:sz w:val="18"/>
              </w:rPr>
              <w:t xml:space="preserve">Cantidad de </w:t>
            </w:r>
            <w:r w:rsidR="008455B8" w:rsidRPr="003B6FA2">
              <w:rPr>
                <w:rFonts w:ascii="Arial" w:hAnsi="Arial" w:cs="Arial"/>
                <w:b/>
                <w:sz w:val="18"/>
              </w:rPr>
              <w:t>Medidores Multifunción para Liqu</w:t>
            </w:r>
            <w:r w:rsidR="003B6FA2">
              <w:rPr>
                <w:rFonts w:ascii="Arial" w:hAnsi="Arial" w:cs="Arial"/>
                <w:b/>
                <w:sz w:val="18"/>
              </w:rPr>
              <w:t>idaciones</w:t>
            </w:r>
          </w:p>
        </w:tc>
        <w:tc>
          <w:tcPr>
            <w:tcW w:w="2675" w:type="dxa"/>
          </w:tcPr>
          <w:p w14:paraId="386B97FF" w14:textId="77777777" w:rsidR="00463380" w:rsidRPr="003B6FA2" w:rsidRDefault="00463380" w:rsidP="003B6FA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3B6FA2">
              <w:rPr>
                <w:rFonts w:ascii="Arial" w:hAnsi="Arial" w:cs="Arial"/>
                <w:b/>
                <w:sz w:val="18"/>
              </w:rPr>
              <w:t>Ancho de banda requerido en el acceso a Internet</w:t>
            </w:r>
          </w:p>
        </w:tc>
      </w:tr>
      <w:tr w:rsidR="00187DE4" w:rsidRPr="00DC444D" w14:paraId="4042DDAF" w14:textId="77777777" w:rsidTr="003B6FA2">
        <w:trPr>
          <w:trHeight w:hRule="exact" w:val="284"/>
        </w:trPr>
        <w:tc>
          <w:tcPr>
            <w:tcW w:w="3402" w:type="dxa"/>
          </w:tcPr>
          <w:p w14:paraId="710CA683" w14:textId="77777777" w:rsidR="00187DE4" w:rsidRPr="003B6FA2" w:rsidRDefault="00187DE4" w:rsidP="003B6FA2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3B6FA2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2675" w:type="dxa"/>
          </w:tcPr>
          <w:p w14:paraId="0D5CE827" w14:textId="77777777" w:rsidR="00187DE4" w:rsidRPr="003B6FA2" w:rsidRDefault="00187DE4" w:rsidP="003B6FA2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3B6FA2">
              <w:rPr>
                <w:rFonts w:ascii="Arial" w:hAnsi="Arial" w:cs="Arial"/>
                <w:sz w:val="18"/>
              </w:rPr>
              <w:t>256 kbps</w:t>
            </w:r>
          </w:p>
        </w:tc>
      </w:tr>
      <w:tr w:rsidR="00463380" w:rsidRPr="00DC444D" w14:paraId="33C540FF" w14:textId="77777777" w:rsidTr="003B6FA2">
        <w:trPr>
          <w:trHeight w:hRule="exact" w:val="284"/>
        </w:trPr>
        <w:tc>
          <w:tcPr>
            <w:tcW w:w="3402" w:type="dxa"/>
          </w:tcPr>
          <w:p w14:paraId="603F6148" w14:textId="77777777" w:rsidR="00463380" w:rsidRPr="003B6FA2" w:rsidRDefault="00187DE4" w:rsidP="003B6FA2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3B6FA2">
              <w:rPr>
                <w:rFonts w:ascii="Arial" w:hAnsi="Arial" w:cs="Arial"/>
                <w:sz w:val="18"/>
              </w:rPr>
              <w:t>2</w:t>
            </w:r>
            <w:r w:rsidR="00463380" w:rsidRPr="003B6FA2">
              <w:rPr>
                <w:rFonts w:ascii="Arial" w:hAnsi="Arial" w:cs="Arial"/>
                <w:sz w:val="18"/>
              </w:rPr>
              <w:t xml:space="preserve"> a 5</w:t>
            </w:r>
          </w:p>
        </w:tc>
        <w:tc>
          <w:tcPr>
            <w:tcW w:w="2675" w:type="dxa"/>
          </w:tcPr>
          <w:p w14:paraId="7A83F7C5" w14:textId="77777777" w:rsidR="00463380" w:rsidRPr="003B6FA2" w:rsidRDefault="00463380" w:rsidP="003B6FA2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3B6FA2">
              <w:rPr>
                <w:rFonts w:ascii="Arial" w:hAnsi="Arial" w:cs="Arial"/>
                <w:sz w:val="18"/>
              </w:rPr>
              <w:t>384 kbps</w:t>
            </w:r>
          </w:p>
        </w:tc>
      </w:tr>
      <w:tr w:rsidR="00463380" w:rsidRPr="00DC444D" w14:paraId="78722BD6" w14:textId="77777777" w:rsidTr="003B6FA2">
        <w:trPr>
          <w:trHeight w:hRule="exact" w:val="284"/>
        </w:trPr>
        <w:tc>
          <w:tcPr>
            <w:tcW w:w="3402" w:type="dxa"/>
          </w:tcPr>
          <w:p w14:paraId="315B3700" w14:textId="77777777" w:rsidR="00463380" w:rsidRPr="003B6FA2" w:rsidRDefault="00463380" w:rsidP="003B6FA2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3B6FA2">
              <w:rPr>
                <w:rFonts w:ascii="Arial" w:hAnsi="Arial" w:cs="Arial"/>
                <w:sz w:val="18"/>
              </w:rPr>
              <w:t>6 a 10</w:t>
            </w:r>
          </w:p>
        </w:tc>
        <w:tc>
          <w:tcPr>
            <w:tcW w:w="2675" w:type="dxa"/>
          </w:tcPr>
          <w:p w14:paraId="1359D5F7" w14:textId="77777777" w:rsidR="00463380" w:rsidRPr="003B6FA2" w:rsidRDefault="00463380" w:rsidP="003B6FA2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3B6FA2">
              <w:rPr>
                <w:rFonts w:ascii="Arial" w:hAnsi="Arial" w:cs="Arial"/>
                <w:sz w:val="18"/>
              </w:rPr>
              <w:t>512 kbps</w:t>
            </w:r>
          </w:p>
        </w:tc>
      </w:tr>
      <w:tr w:rsidR="00463380" w:rsidRPr="00DC444D" w14:paraId="231A31C3" w14:textId="77777777" w:rsidTr="003B6FA2">
        <w:trPr>
          <w:trHeight w:hRule="exact" w:val="284"/>
        </w:trPr>
        <w:tc>
          <w:tcPr>
            <w:tcW w:w="3402" w:type="dxa"/>
          </w:tcPr>
          <w:p w14:paraId="4F08990B" w14:textId="77777777" w:rsidR="00463380" w:rsidRPr="003B6FA2" w:rsidRDefault="00463380" w:rsidP="003B6FA2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3B6FA2">
              <w:rPr>
                <w:rFonts w:ascii="Arial" w:hAnsi="Arial" w:cs="Arial"/>
                <w:sz w:val="18"/>
              </w:rPr>
              <w:t>11 a 20</w:t>
            </w:r>
          </w:p>
        </w:tc>
        <w:tc>
          <w:tcPr>
            <w:tcW w:w="2675" w:type="dxa"/>
          </w:tcPr>
          <w:p w14:paraId="17E40ED8" w14:textId="77777777" w:rsidR="00463380" w:rsidRPr="003B6FA2" w:rsidRDefault="00463380" w:rsidP="003B6FA2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3B6FA2">
              <w:rPr>
                <w:rFonts w:ascii="Arial" w:hAnsi="Arial" w:cs="Arial"/>
                <w:sz w:val="18"/>
              </w:rPr>
              <w:t>768 kbps</w:t>
            </w:r>
          </w:p>
        </w:tc>
      </w:tr>
      <w:tr w:rsidR="00463380" w:rsidRPr="00DC444D" w14:paraId="69681DE3" w14:textId="77777777" w:rsidTr="003B6FA2">
        <w:trPr>
          <w:trHeight w:hRule="exact" w:val="284"/>
        </w:trPr>
        <w:tc>
          <w:tcPr>
            <w:tcW w:w="3402" w:type="dxa"/>
          </w:tcPr>
          <w:p w14:paraId="3EF3CFA5" w14:textId="77777777" w:rsidR="00463380" w:rsidRPr="003B6FA2" w:rsidRDefault="00463380" w:rsidP="003B6FA2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3B6FA2">
              <w:rPr>
                <w:rFonts w:ascii="Arial" w:hAnsi="Arial" w:cs="Arial"/>
                <w:sz w:val="18"/>
              </w:rPr>
              <w:t>21 a 50</w:t>
            </w:r>
          </w:p>
        </w:tc>
        <w:tc>
          <w:tcPr>
            <w:tcW w:w="2675" w:type="dxa"/>
          </w:tcPr>
          <w:p w14:paraId="2A71C38F" w14:textId="77777777" w:rsidR="00463380" w:rsidRPr="003B6FA2" w:rsidRDefault="00463380" w:rsidP="003B6FA2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3B6FA2">
              <w:rPr>
                <w:rFonts w:ascii="Arial" w:hAnsi="Arial" w:cs="Arial"/>
                <w:sz w:val="18"/>
              </w:rPr>
              <w:t>1024 kbps</w:t>
            </w:r>
          </w:p>
        </w:tc>
      </w:tr>
      <w:tr w:rsidR="00463380" w:rsidRPr="00DC444D" w14:paraId="6E2DE31C" w14:textId="77777777" w:rsidTr="003B6FA2">
        <w:trPr>
          <w:trHeight w:hRule="exact" w:val="284"/>
        </w:trPr>
        <w:tc>
          <w:tcPr>
            <w:tcW w:w="3402" w:type="dxa"/>
          </w:tcPr>
          <w:p w14:paraId="5A4F7E9B" w14:textId="77777777" w:rsidR="00463380" w:rsidRPr="003B6FA2" w:rsidRDefault="00463380" w:rsidP="003B6FA2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3B6FA2">
              <w:rPr>
                <w:rFonts w:ascii="Arial" w:hAnsi="Arial" w:cs="Arial"/>
                <w:sz w:val="18"/>
              </w:rPr>
              <w:t>51 a 100</w:t>
            </w:r>
          </w:p>
        </w:tc>
        <w:tc>
          <w:tcPr>
            <w:tcW w:w="2675" w:type="dxa"/>
          </w:tcPr>
          <w:p w14:paraId="36B8E4CA" w14:textId="77777777" w:rsidR="00463380" w:rsidRPr="003B6FA2" w:rsidRDefault="00463380" w:rsidP="003B6FA2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3B6FA2">
              <w:rPr>
                <w:rFonts w:ascii="Arial" w:hAnsi="Arial" w:cs="Arial"/>
                <w:sz w:val="18"/>
              </w:rPr>
              <w:t>1.5 Mbps</w:t>
            </w:r>
          </w:p>
        </w:tc>
      </w:tr>
      <w:tr w:rsidR="00463380" w:rsidRPr="00DC444D" w14:paraId="41FE0810" w14:textId="77777777" w:rsidTr="003B6FA2">
        <w:trPr>
          <w:trHeight w:hRule="exact" w:val="284"/>
        </w:trPr>
        <w:tc>
          <w:tcPr>
            <w:tcW w:w="3402" w:type="dxa"/>
          </w:tcPr>
          <w:p w14:paraId="716E9F2E" w14:textId="77777777" w:rsidR="00463380" w:rsidRPr="003B6FA2" w:rsidRDefault="00463380" w:rsidP="003B6FA2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3B6FA2">
              <w:rPr>
                <w:rFonts w:ascii="Arial" w:hAnsi="Arial" w:cs="Arial"/>
                <w:sz w:val="18"/>
              </w:rPr>
              <w:t>101 a 500</w:t>
            </w:r>
          </w:p>
        </w:tc>
        <w:tc>
          <w:tcPr>
            <w:tcW w:w="2675" w:type="dxa"/>
          </w:tcPr>
          <w:p w14:paraId="3BDDAB36" w14:textId="77777777" w:rsidR="00463380" w:rsidRPr="003B6FA2" w:rsidRDefault="00463380" w:rsidP="003B6FA2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3B6FA2">
              <w:rPr>
                <w:rFonts w:ascii="Arial" w:hAnsi="Arial" w:cs="Arial"/>
                <w:sz w:val="18"/>
              </w:rPr>
              <w:t>2 Mbps</w:t>
            </w:r>
          </w:p>
        </w:tc>
      </w:tr>
      <w:tr w:rsidR="00463380" w:rsidRPr="00DC444D" w14:paraId="380ADF2D" w14:textId="77777777" w:rsidTr="003B6FA2">
        <w:trPr>
          <w:trHeight w:hRule="exact" w:val="284"/>
        </w:trPr>
        <w:tc>
          <w:tcPr>
            <w:tcW w:w="3402" w:type="dxa"/>
          </w:tcPr>
          <w:p w14:paraId="498838A9" w14:textId="77777777" w:rsidR="00463380" w:rsidRPr="003B6FA2" w:rsidRDefault="00463380" w:rsidP="003B6FA2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3B6FA2">
              <w:rPr>
                <w:rFonts w:ascii="Arial" w:hAnsi="Arial" w:cs="Arial"/>
                <w:sz w:val="18"/>
              </w:rPr>
              <w:t>501 a 10,000</w:t>
            </w:r>
          </w:p>
        </w:tc>
        <w:tc>
          <w:tcPr>
            <w:tcW w:w="2675" w:type="dxa"/>
          </w:tcPr>
          <w:p w14:paraId="09F285FD" w14:textId="77777777" w:rsidR="00463380" w:rsidRPr="003B6FA2" w:rsidRDefault="00463380" w:rsidP="003B6FA2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3B6FA2">
              <w:rPr>
                <w:rFonts w:ascii="Arial" w:hAnsi="Arial" w:cs="Arial"/>
                <w:sz w:val="18"/>
              </w:rPr>
              <w:t>5 Mbps</w:t>
            </w:r>
          </w:p>
        </w:tc>
      </w:tr>
      <w:tr w:rsidR="00463380" w:rsidRPr="00DC444D" w14:paraId="7AB6A25E" w14:textId="77777777" w:rsidTr="003B6FA2">
        <w:trPr>
          <w:trHeight w:hRule="exact" w:val="284"/>
        </w:trPr>
        <w:tc>
          <w:tcPr>
            <w:tcW w:w="3402" w:type="dxa"/>
          </w:tcPr>
          <w:p w14:paraId="142097E5" w14:textId="77777777" w:rsidR="00463380" w:rsidRPr="003B6FA2" w:rsidRDefault="00463380" w:rsidP="003B6FA2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3B6FA2">
              <w:rPr>
                <w:rFonts w:ascii="Arial" w:hAnsi="Arial" w:cs="Arial"/>
                <w:sz w:val="18"/>
              </w:rPr>
              <w:t>10,001 a 50,000</w:t>
            </w:r>
          </w:p>
        </w:tc>
        <w:tc>
          <w:tcPr>
            <w:tcW w:w="2675" w:type="dxa"/>
          </w:tcPr>
          <w:p w14:paraId="416FD7CD" w14:textId="77777777" w:rsidR="00463380" w:rsidRPr="003B6FA2" w:rsidRDefault="00463380" w:rsidP="003B6FA2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3B6FA2">
              <w:rPr>
                <w:rFonts w:ascii="Arial" w:hAnsi="Arial" w:cs="Arial"/>
                <w:sz w:val="18"/>
              </w:rPr>
              <w:t>10 Mbps</w:t>
            </w:r>
          </w:p>
        </w:tc>
      </w:tr>
      <w:tr w:rsidR="00187DE4" w:rsidRPr="00DC444D" w14:paraId="2A8F608F" w14:textId="77777777" w:rsidTr="003B6FA2">
        <w:trPr>
          <w:trHeight w:hRule="exact" w:val="284"/>
        </w:trPr>
        <w:tc>
          <w:tcPr>
            <w:tcW w:w="3402" w:type="dxa"/>
          </w:tcPr>
          <w:p w14:paraId="4B7FFA9E" w14:textId="77777777" w:rsidR="00187DE4" w:rsidRPr="003B6FA2" w:rsidRDefault="00187DE4" w:rsidP="003B6FA2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3B6FA2">
              <w:rPr>
                <w:rFonts w:ascii="Arial" w:hAnsi="Arial" w:cs="Arial"/>
                <w:sz w:val="18"/>
              </w:rPr>
              <w:t>Más de 50,000</w:t>
            </w:r>
          </w:p>
        </w:tc>
        <w:tc>
          <w:tcPr>
            <w:tcW w:w="2675" w:type="dxa"/>
          </w:tcPr>
          <w:p w14:paraId="07BE4CA7" w14:textId="77777777" w:rsidR="00187DE4" w:rsidRPr="003B6FA2" w:rsidRDefault="00187DE4" w:rsidP="003B6FA2">
            <w:pPr>
              <w:spacing w:before="60" w:after="60"/>
              <w:jc w:val="center"/>
              <w:rPr>
                <w:rFonts w:ascii="Arial" w:hAnsi="Arial" w:cs="Arial"/>
                <w:sz w:val="18"/>
              </w:rPr>
            </w:pPr>
            <w:r w:rsidRPr="003B6FA2">
              <w:rPr>
                <w:rFonts w:ascii="Arial" w:hAnsi="Arial" w:cs="Arial"/>
                <w:sz w:val="18"/>
              </w:rPr>
              <w:t>20 Mbps</w:t>
            </w:r>
          </w:p>
        </w:tc>
      </w:tr>
    </w:tbl>
    <w:p w14:paraId="59782923" w14:textId="03382DC8" w:rsidR="00463380" w:rsidRDefault="00463380" w:rsidP="003B6FA2">
      <w:pPr>
        <w:pStyle w:val="Inciso"/>
        <w:ind w:left="1418"/>
      </w:pPr>
      <w:r>
        <w:t xml:space="preserve">En el punto de acceso a su intranet, </w:t>
      </w:r>
      <w:r w:rsidR="008455B8">
        <w:t>la Central Eléctrica o el Centro de Carga</w:t>
      </w:r>
      <w:r w:rsidR="008455B8" w:rsidRPr="001C3343">
        <w:t xml:space="preserve"> </w:t>
      </w:r>
      <w:r>
        <w:t xml:space="preserve">debe implementar un firewall, en cuya interfaz </w:t>
      </w:r>
      <w:r w:rsidR="00786701">
        <w:t xml:space="preserve">externa </w:t>
      </w:r>
      <w:r>
        <w:t xml:space="preserve">aplicará los parámetros de </w:t>
      </w:r>
      <w:r w:rsidR="00B2047D">
        <w:t xml:space="preserve">comunicación </w:t>
      </w:r>
      <w:r>
        <w:t xml:space="preserve">que indique el </w:t>
      </w:r>
      <w:r w:rsidR="00786701">
        <w:t xml:space="preserve">Transportista o </w:t>
      </w:r>
      <w:r>
        <w:t>Distribuidor</w:t>
      </w:r>
      <w:r w:rsidR="00786701">
        <w:t>, según sea el caso</w:t>
      </w:r>
      <w:r>
        <w:t xml:space="preserve">. El </w:t>
      </w:r>
      <w:r w:rsidR="00786701">
        <w:lastRenderedPageBreak/>
        <w:t xml:space="preserve">canal de </w:t>
      </w:r>
      <w:r>
        <w:t xml:space="preserve">acceso a Internet en las instalaciones </w:t>
      </w:r>
      <w:r w:rsidR="008455B8">
        <w:t>de la Central Eléctrica o el Centro de Carga</w:t>
      </w:r>
      <w:r w:rsidR="008455B8" w:rsidRPr="001C3343">
        <w:t xml:space="preserve"> </w:t>
      </w:r>
      <w:r>
        <w:t>debe conectarse en forma directa a este firewall</w:t>
      </w:r>
      <w:r w:rsidR="00786701">
        <w:t>, de manera que se utilice exclusivamente para la transferencia de registros de medición</w:t>
      </w:r>
      <w:r>
        <w:t>.</w:t>
      </w:r>
    </w:p>
    <w:p w14:paraId="71CEFFB9" w14:textId="2A74BCF6" w:rsidR="00463380" w:rsidRDefault="00463380" w:rsidP="003B6FA2">
      <w:pPr>
        <w:pStyle w:val="Inciso"/>
        <w:ind w:left="1418"/>
      </w:pPr>
      <w:r>
        <w:t xml:space="preserve">En coordinación con el </w:t>
      </w:r>
      <w:r w:rsidR="00786701">
        <w:t xml:space="preserve">Transportista o </w:t>
      </w:r>
      <w:r>
        <w:t xml:space="preserve">Distribuidor, </w:t>
      </w:r>
      <w:r w:rsidR="00CD067C">
        <w:t>l</w:t>
      </w:r>
      <w:r w:rsidR="00B2047D">
        <w:t>a Central Eléctrica o</w:t>
      </w:r>
      <w:r w:rsidR="00CD067C">
        <w:t xml:space="preserve"> el</w:t>
      </w:r>
      <w:r w:rsidR="00B2047D">
        <w:t xml:space="preserve"> Centro de Carga</w:t>
      </w:r>
      <w:r>
        <w:t xml:space="preserve"> establecerá una conexión de red privada virtual (VPN) entre el firewall en el punto de acceso internet y el firewall que el </w:t>
      </w:r>
      <w:r w:rsidR="00786701">
        <w:t>Transportista o D</w:t>
      </w:r>
      <w:r>
        <w:t xml:space="preserve">istribuidor indique en el </w:t>
      </w:r>
      <w:r w:rsidR="00447550">
        <w:t>Punto de Conectividad</w:t>
      </w:r>
      <w:r>
        <w:t>. E</w:t>
      </w:r>
      <w:r w:rsidR="00786701">
        <w:t>l</w:t>
      </w:r>
      <w:r>
        <w:t xml:space="preserve"> firewall implementado por </w:t>
      </w:r>
      <w:r w:rsidR="00CD067C">
        <w:t>la Central Eléctrica o Centro de Carga</w:t>
      </w:r>
      <w:r w:rsidR="003B6FA2">
        <w:t xml:space="preserve"> </w:t>
      </w:r>
      <w:r>
        <w:t xml:space="preserve">hará la conversión del direccionamiento desde la Intranet del cliente hacia el direccionamiento establecido por el </w:t>
      </w:r>
      <w:r w:rsidR="00786701">
        <w:t xml:space="preserve">Transportista o </w:t>
      </w:r>
      <w:r>
        <w:t xml:space="preserve">Distribuidor. </w:t>
      </w:r>
    </w:p>
    <w:p w14:paraId="2D355E82" w14:textId="64BC7D09" w:rsidR="0097633F" w:rsidRDefault="00B2047D" w:rsidP="003B6FA2">
      <w:pPr>
        <w:pStyle w:val="Inciso"/>
        <w:ind w:left="1418"/>
      </w:pPr>
      <w:r>
        <w:t xml:space="preserve">La Central Eléctrica o </w:t>
      </w:r>
      <w:r w:rsidR="00CD067C">
        <w:t xml:space="preserve">el </w:t>
      </w:r>
      <w:r>
        <w:t>Centro de Carga</w:t>
      </w:r>
      <w:r w:rsidR="00463380">
        <w:t xml:space="preserve"> proporcionará la conectividad </w:t>
      </w:r>
      <w:r w:rsidR="003B6FA2">
        <w:t>E</w:t>
      </w:r>
      <w:r w:rsidR="00463380">
        <w:t>thernet desde el firewall en el punto de acceso</w:t>
      </w:r>
      <w:r w:rsidR="003B6FA2">
        <w:t xml:space="preserve"> a su intranet hasta el puerto E</w:t>
      </w:r>
      <w:r w:rsidR="00463380">
        <w:t xml:space="preserve">thernet del </w:t>
      </w:r>
      <w:r w:rsidR="000F1E89">
        <w:t>M</w:t>
      </w:r>
      <w:r w:rsidR="00463380">
        <w:t xml:space="preserve">edidor </w:t>
      </w:r>
      <w:r w:rsidR="000F1E89">
        <w:t>Multifunción para Liquidaciones</w:t>
      </w:r>
      <w:r w:rsidR="006C76C9">
        <w:t>.</w:t>
      </w:r>
      <w:r w:rsidR="0097633F" w:rsidRPr="0097633F">
        <w:t xml:space="preserve"> </w:t>
      </w:r>
      <w:r w:rsidR="0097633F">
        <w:t xml:space="preserve">El Transportista o Distribuidor proporcionará los parámetros de configuración TCP/IP necesarios para conectar el firewall de la </w:t>
      </w:r>
      <w:r>
        <w:t>i</w:t>
      </w:r>
      <w:r w:rsidR="0097633F">
        <w:t>ntranet de l</w:t>
      </w:r>
      <w:r>
        <w:t>a Central Eléctrica</w:t>
      </w:r>
      <w:r w:rsidR="0097633F">
        <w:t xml:space="preserve"> o </w:t>
      </w:r>
      <w:r w:rsidR="00CD067C">
        <w:t xml:space="preserve">el </w:t>
      </w:r>
      <w:r>
        <w:t>C</w:t>
      </w:r>
      <w:r w:rsidR="0097633F">
        <w:t xml:space="preserve">entro de </w:t>
      </w:r>
      <w:r>
        <w:t>C</w:t>
      </w:r>
      <w:r w:rsidR="0097633F">
        <w:t xml:space="preserve">arga y el </w:t>
      </w:r>
      <w:r>
        <w:t>M</w:t>
      </w:r>
      <w:r w:rsidR="0097633F">
        <w:t xml:space="preserve">edidor </w:t>
      </w:r>
      <w:r>
        <w:t>M</w:t>
      </w:r>
      <w:r w:rsidR="0097633F">
        <w:t xml:space="preserve">ultifunción </w:t>
      </w:r>
      <w:r>
        <w:t>para</w:t>
      </w:r>
      <w:r w:rsidR="003B6FA2">
        <w:t xml:space="preserve"> </w:t>
      </w:r>
      <w:r>
        <w:t>L</w:t>
      </w:r>
      <w:r w:rsidR="0097633F">
        <w:t>iquidaciones</w:t>
      </w:r>
      <w:r w:rsidR="00F778B7">
        <w:t>.</w:t>
      </w:r>
    </w:p>
    <w:p w14:paraId="73777644" w14:textId="5E8B6ECC" w:rsidR="0097633F" w:rsidRDefault="008455B8" w:rsidP="003B6FA2">
      <w:pPr>
        <w:pStyle w:val="Inciso"/>
        <w:ind w:left="1418"/>
      </w:pPr>
      <w:r>
        <w:t>La Central Eléctrica y el Centro de Carga</w:t>
      </w:r>
      <w:r w:rsidRPr="001C3343">
        <w:t xml:space="preserve"> </w:t>
      </w:r>
      <w:r>
        <w:t xml:space="preserve">son </w:t>
      </w:r>
      <w:r w:rsidR="00656220">
        <w:t xml:space="preserve">responsable del </w:t>
      </w:r>
      <w:r w:rsidR="00EB156C">
        <w:t>f</w:t>
      </w:r>
      <w:r w:rsidR="00656220">
        <w:t>irewall de su intranet</w:t>
      </w:r>
      <w:r w:rsidR="00F778B7">
        <w:t>.</w:t>
      </w:r>
    </w:p>
    <w:p w14:paraId="49011520" w14:textId="6290D0E0" w:rsidR="00463380" w:rsidRDefault="00463380" w:rsidP="003B6FA2">
      <w:pPr>
        <w:pStyle w:val="Inciso"/>
        <w:ind w:left="1418"/>
      </w:pPr>
      <w:r>
        <w:t>En caso de no cumplir con e</w:t>
      </w:r>
      <w:r w:rsidR="004D64CE">
        <w:t>l</w:t>
      </w:r>
      <w:r>
        <w:t xml:space="preserve"> desempeño</w:t>
      </w:r>
      <w:r w:rsidR="004D64CE">
        <w:t xml:space="preserve"> indicado en el </w:t>
      </w:r>
      <w:r w:rsidR="00DC444D">
        <w:t>inciso (b) anterior</w:t>
      </w:r>
      <w:r>
        <w:t xml:space="preserve">, el </w:t>
      </w:r>
      <w:r w:rsidR="008405F7">
        <w:t xml:space="preserve">Transportista o </w:t>
      </w:r>
      <w:r>
        <w:t xml:space="preserve">Distribuidor podrá solicitar </w:t>
      </w:r>
      <w:r w:rsidR="00CD067C">
        <w:t>a</w:t>
      </w:r>
      <w:r w:rsidR="000F1E89">
        <w:t xml:space="preserve"> </w:t>
      </w:r>
      <w:r w:rsidR="00CD067C">
        <w:t>la Central Eléctrica o el Centro de Carga</w:t>
      </w:r>
      <w:r w:rsidR="002F4285">
        <w:t xml:space="preserve"> </w:t>
      </w:r>
      <w:r w:rsidR="00CD067C">
        <w:t xml:space="preserve">que </w:t>
      </w:r>
      <w:r>
        <w:t xml:space="preserve">incremente la capacidad del canal de acceso a internet en sus instalaciones </w:t>
      </w:r>
      <w:r w:rsidR="005A0FC0">
        <w:rPr>
          <w:color w:val="000000"/>
          <w:szCs w:val="20"/>
        </w:rPr>
        <w:t>la capacidad necesaria para cumplir con el desempeño establecido en el inciso (b) anterior</w:t>
      </w:r>
      <w:r>
        <w:t>.</w:t>
      </w:r>
    </w:p>
    <w:p w14:paraId="4994415E" w14:textId="77777777" w:rsidR="000406A2" w:rsidRDefault="000406A2" w:rsidP="003B6FA2">
      <w:pPr>
        <w:pStyle w:val="Numeral"/>
        <w:numPr>
          <w:ilvl w:val="0"/>
          <w:numId w:val="0"/>
        </w:numPr>
        <w:ind w:left="851"/>
      </w:pPr>
    </w:p>
    <w:p w14:paraId="579C9DB2" w14:textId="56E1AD15" w:rsidR="00463380" w:rsidRDefault="00463380" w:rsidP="003B6FA2">
      <w:pPr>
        <w:pStyle w:val="Numeral"/>
        <w:rPr>
          <w:b/>
        </w:rPr>
      </w:pPr>
      <w:r w:rsidRPr="003B6FA2">
        <w:rPr>
          <w:b/>
        </w:rPr>
        <w:t xml:space="preserve">Alternativa </w:t>
      </w:r>
      <w:r w:rsidR="00CD636D">
        <w:rPr>
          <w:b/>
        </w:rPr>
        <w:t>E</w:t>
      </w:r>
      <w:r w:rsidRPr="003B6FA2">
        <w:rPr>
          <w:b/>
        </w:rPr>
        <w:t xml:space="preserve">. Conectividad VPN sobre internet </w:t>
      </w:r>
      <w:r w:rsidR="00CD067C" w:rsidRPr="003B6FA2">
        <w:rPr>
          <w:b/>
        </w:rPr>
        <w:t xml:space="preserve">desde </w:t>
      </w:r>
      <w:r w:rsidRPr="003B6FA2">
        <w:rPr>
          <w:b/>
        </w:rPr>
        <w:t xml:space="preserve">el </w:t>
      </w:r>
      <w:r w:rsidR="00CD067C" w:rsidRPr="003B6FA2">
        <w:rPr>
          <w:b/>
        </w:rPr>
        <w:t>M</w:t>
      </w:r>
      <w:r w:rsidR="00B2204B" w:rsidRPr="003B6FA2">
        <w:rPr>
          <w:b/>
        </w:rPr>
        <w:t xml:space="preserve">edidor </w:t>
      </w:r>
      <w:r w:rsidR="00CD067C" w:rsidRPr="003B6FA2">
        <w:rPr>
          <w:b/>
        </w:rPr>
        <w:t>Multifunción para Liquidaciones mediante</w:t>
      </w:r>
      <w:r w:rsidRPr="003B6FA2">
        <w:rPr>
          <w:b/>
        </w:rPr>
        <w:t xml:space="preserve"> canales satelitales</w:t>
      </w:r>
    </w:p>
    <w:p w14:paraId="2E5A9ABE" w14:textId="77777777" w:rsidR="000406A2" w:rsidRPr="003B6FA2" w:rsidRDefault="000406A2" w:rsidP="003B6FA2">
      <w:pPr>
        <w:pStyle w:val="Numeral"/>
        <w:numPr>
          <w:ilvl w:val="0"/>
          <w:numId w:val="0"/>
        </w:numPr>
        <w:ind w:left="993"/>
        <w:rPr>
          <w:b/>
        </w:rPr>
      </w:pPr>
      <w:r w:rsidRPr="000406A2">
        <w:rPr>
          <w:b/>
          <w:noProof/>
          <w:lang w:eastAsia="es-MX" w:bidi="ar-SA"/>
        </w:rPr>
        <w:drawing>
          <wp:inline distT="0" distB="0" distL="0" distR="0" wp14:anchorId="0C3BF509" wp14:editId="41846284">
            <wp:extent cx="4885898" cy="3541972"/>
            <wp:effectExtent l="19050" t="19050" r="10160" b="20955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25926" cy="357099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F2EBF65" w14:textId="15F46BAE" w:rsidR="00463380" w:rsidRDefault="00463380" w:rsidP="003B6FA2">
      <w:pPr>
        <w:pStyle w:val="Inciso"/>
        <w:ind w:left="1418"/>
      </w:pPr>
      <w:r>
        <w:lastRenderedPageBreak/>
        <w:t xml:space="preserve">Este esquema de comunicación se utilizará </w:t>
      </w:r>
      <w:r w:rsidR="00B2204B">
        <w:t xml:space="preserve">únicamente </w:t>
      </w:r>
      <w:r w:rsidR="000F1E89">
        <w:t>si</w:t>
      </w:r>
      <w:r>
        <w:t xml:space="preserve"> la instalación </w:t>
      </w:r>
      <w:r w:rsidR="000F1E89">
        <w:t>de la Central Eléctrica o del Centro de Carga</w:t>
      </w:r>
      <w:r w:rsidR="000F1E89" w:rsidRPr="001C3343">
        <w:t xml:space="preserve"> </w:t>
      </w:r>
      <w:r>
        <w:t>se encuentr</w:t>
      </w:r>
      <w:r w:rsidR="000F1E89">
        <w:t>a</w:t>
      </w:r>
      <w:r>
        <w:t xml:space="preserve"> fuera de la cobertura de las redes comerciales de comunicación que puedan brindarle los canales necesarios para cualquiera de las otras alternativas.</w:t>
      </w:r>
    </w:p>
    <w:p w14:paraId="3F717303" w14:textId="0BDF8017" w:rsidR="00463380" w:rsidRDefault="000F1E89" w:rsidP="003B6FA2">
      <w:pPr>
        <w:pStyle w:val="Inciso"/>
        <w:ind w:left="1418"/>
      </w:pPr>
      <w:r>
        <w:t>La Central Eléctrica o el Centro de Carga</w:t>
      </w:r>
      <w:r w:rsidRPr="001C3343">
        <w:t xml:space="preserve"> </w:t>
      </w:r>
      <w:r w:rsidR="00463380">
        <w:t xml:space="preserve">implementará, en cada instalación a su cargo donde exista un </w:t>
      </w:r>
      <w:r>
        <w:t>Medidor Multifunción para Liquidaciones</w:t>
      </w:r>
      <w:r w:rsidR="00463380">
        <w:t xml:space="preserve"> que deba enviar registros</w:t>
      </w:r>
      <w:r w:rsidR="00B2204B">
        <w:t xml:space="preserve"> de medición</w:t>
      </w:r>
      <w:r w:rsidR="00463380">
        <w:t xml:space="preserve"> hacia el CENACE, un </w:t>
      </w:r>
      <w:r w:rsidR="008455B8">
        <w:t xml:space="preserve">medio </w:t>
      </w:r>
      <w:r w:rsidR="00463380">
        <w:t xml:space="preserve">de comunicación para acceso a Internet con tecnología comercial satelital, el cual debe tener un ancho de banda simétrico de al menos 128 kbps. Este acceso satelital a Internet debe utilizarse exclusivamente para el envío </w:t>
      </w:r>
      <w:r w:rsidR="00B2204B">
        <w:t xml:space="preserve">y adquisición </w:t>
      </w:r>
      <w:r w:rsidR="00463380">
        <w:t xml:space="preserve">de </w:t>
      </w:r>
      <w:r w:rsidR="00B2204B">
        <w:t xml:space="preserve">registros </w:t>
      </w:r>
      <w:r w:rsidR="00463380">
        <w:t xml:space="preserve">del </w:t>
      </w:r>
      <w:r>
        <w:t>Medidor Multifunción para Liquidaciones por parte d</w:t>
      </w:r>
      <w:r w:rsidR="00463380">
        <w:t xml:space="preserve">el </w:t>
      </w:r>
      <w:r w:rsidR="00B2204B">
        <w:t xml:space="preserve">Transportista o </w:t>
      </w:r>
      <w:r w:rsidR="00463380">
        <w:t xml:space="preserve">Distribuidor. </w:t>
      </w:r>
    </w:p>
    <w:p w14:paraId="7E561486" w14:textId="1841A037" w:rsidR="00463380" w:rsidRDefault="00463380" w:rsidP="003B6FA2">
      <w:pPr>
        <w:pStyle w:val="Inciso"/>
        <w:ind w:left="1418"/>
      </w:pPr>
      <w:r>
        <w:t xml:space="preserve">En el punto </w:t>
      </w:r>
      <w:r w:rsidR="00656220">
        <w:t>en el que se conecte</w:t>
      </w:r>
      <w:r>
        <w:t xml:space="preserve"> el sistema satelital </w:t>
      </w:r>
      <w:r w:rsidR="00656220">
        <w:t xml:space="preserve">y la </w:t>
      </w:r>
      <w:r>
        <w:t xml:space="preserve">Internet, </w:t>
      </w:r>
      <w:r w:rsidR="000F1E89">
        <w:t>la Central Eléctrica o el Centro de Carga</w:t>
      </w:r>
      <w:r w:rsidR="000F1E89" w:rsidRPr="001C3343">
        <w:t xml:space="preserve"> </w:t>
      </w:r>
      <w:r>
        <w:t>debe implementar un firewall que tenga una conexión con dirección IP pública hacia Internet.</w:t>
      </w:r>
    </w:p>
    <w:p w14:paraId="475E6219" w14:textId="2E15B044" w:rsidR="00463380" w:rsidRDefault="00463380" w:rsidP="003B6FA2">
      <w:pPr>
        <w:pStyle w:val="Inciso"/>
        <w:ind w:left="1418"/>
      </w:pPr>
      <w:r>
        <w:t xml:space="preserve">En coordinación con el </w:t>
      </w:r>
      <w:r w:rsidR="00B2204B">
        <w:t xml:space="preserve">Transportista o </w:t>
      </w:r>
      <w:r>
        <w:t xml:space="preserve">Distribuidor, </w:t>
      </w:r>
      <w:r w:rsidR="000F1E89">
        <w:t>la Central Eléctrica o el Centro de Carga</w:t>
      </w:r>
      <w:r w:rsidR="000F1E89" w:rsidRPr="001C3343">
        <w:t xml:space="preserve"> </w:t>
      </w:r>
      <w:r>
        <w:t xml:space="preserve">establecerá una conexión de red privada virtual (VPN) entre el firewall en el punto de acceso al sistema satelital y el firewall que el </w:t>
      </w:r>
      <w:r w:rsidR="00B2204B">
        <w:t>Transportista o D</w:t>
      </w:r>
      <w:r>
        <w:t xml:space="preserve">istribuidor indique en el </w:t>
      </w:r>
      <w:r w:rsidR="00447550">
        <w:t>Punto de Conectividad</w:t>
      </w:r>
      <w:r>
        <w:t xml:space="preserve">. El firewall implementado por </w:t>
      </w:r>
      <w:r w:rsidR="000F1E89">
        <w:t>la Central Eléctrica o el Centro de Carga</w:t>
      </w:r>
      <w:r w:rsidR="000F1E89" w:rsidRPr="001C3343">
        <w:t xml:space="preserve"> </w:t>
      </w:r>
      <w:r>
        <w:t xml:space="preserve">hará la conversión del direccionamiento desde la </w:t>
      </w:r>
      <w:r w:rsidR="000F1E89">
        <w:t>i</w:t>
      </w:r>
      <w:r>
        <w:t xml:space="preserve">ntranet del sistema satelital hacia el direccionamiento establecido por el </w:t>
      </w:r>
      <w:r w:rsidR="00B2204B">
        <w:t xml:space="preserve">Transportista o </w:t>
      </w:r>
      <w:r>
        <w:t>Distribuidor.</w:t>
      </w:r>
    </w:p>
    <w:p w14:paraId="0AE63805" w14:textId="26B429DA" w:rsidR="00463380" w:rsidRDefault="000F1E89" w:rsidP="003B6FA2">
      <w:pPr>
        <w:pStyle w:val="Inciso"/>
        <w:ind w:left="1418"/>
      </w:pPr>
      <w:r>
        <w:t>La Central Eléctrica y el Centro de Carga</w:t>
      </w:r>
      <w:r w:rsidRPr="001C3343">
        <w:t xml:space="preserve"> </w:t>
      </w:r>
      <w:r>
        <w:t xml:space="preserve">son  </w:t>
      </w:r>
      <w:r w:rsidR="00656220">
        <w:t>responsable del  Firewall del sistema satelital</w:t>
      </w:r>
    </w:p>
    <w:p w14:paraId="3CFFD09D" w14:textId="647E113A" w:rsidR="00463380" w:rsidRDefault="00463380" w:rsidP="003B6FA2">
      <w:pPr>
        <w:pStyle w:val="Inciso"/>
        <w:ind w:left="1418"/>
      </w:pPr>
      <w:r>
        <w:t>En caso de no cumplir con e</w:t>
      </w:r>
      <w:r w:rsidR="004D64CE">
        <w:t xml:space="preserve">l </w:t>
      </w:r>
      <w:r>
        <w:t>desempeño</w:t>
      </w:r>
      <w:r w:rsidR="004D64CE">
        <w:t xml:space="preserve"> indicado en el </w:t>
      </w:r>
      <w:r w:rsidR="00DC444D">
        <w:t>inciso (b) anterior</w:t>
      </w:r>
      <w:r>
        <w:t xml:space="preserve">, el </w:t>
      </w:r>
      <w:r w:rsidR="00B2204B">
        <w:t xml:space="preserve">Transportista o </w:t>
      </w:r>
      <w:r>
        <w:t xml:space="preserve">Distribuidor podrá solicitar </w:t>
      </w:r>
      <w:r w:rsidR="00EB156C">
        <w:t>a</w:t>
      </w:r>
      <w:r>
        <w:t xml:space="preserve"> </w:t>
      </w:r>
      <w:r w:rsidR="00EB156C">
        <w:t>la Central Eléctrica y el Centro de Carga</w:t>
      </w:r>
      <w:r w:rsidR="00EB156C" w:rsidDel="00EB156C">
        <w:t xml:space="preserve"> </w:t>
      </w:r>
      <w:r w:rsidR="00EB156C">
        <w:t xml:space="preserve">que </w:t>
      </w:r>
      <w:r>
        <w:t>incremente la capacidad del canal de acceso satelital a internet en sus instalaciones hasta obtener el desempeño indicado</w:t>
      </w:r>
      <w:r w:rsidR="00DC444D">
        <w:t xml:space="preserve"> en dicho inciso</w:t>
      </w:r>
      <w:r>
        <w:t>.</w:t>
      </w:r>
    </w:p>
    <w:p w14:paraId="3CF2E4BC" w14:textId="77777777" w:rsidR="00CD636D" w:rsidRDefault="00CD636D" w:rsidP="003B6FA2">
      <w:pPr>
        <w:pStyle w:val="Inciso"/>
        <w:numPr>
          <w:ilvl w:val="0"/>
          <w:numId w:val="0"/>
        </w:numPr>
        <w:ind w:left="1418"/>
      </w:pPr>
    </w:p>
    <w:p w14:paraId="4D3DE7FF" w14:textId="4F1DDF43" w:rsidR="00D80D97" w:rsidRPr="003B6FA2" w:rsidRDefault="00D80D97" w:rsidP="003B6FA2">
      <w:pPr>
        <w:pStyle w:val="Numeral"/>
        <w:rPr>
          <w:b/>
        </w:rPr>
      </w:pPr>
      <w:r w:rsidRPr="003B6FA2">
        <w:rPr>
          <w:b/>
        </w:rPr>
        <w:t xml:space="preserve">Alternativa </w:t>
      </w:r>
      <w:r w:rsidR="00CD636D">
        <w:rPr>
          <w:b/>
        </w:rPr>
        <w:t>F</w:t>
      </w:r>
      <w:r w:rsidRPr="003B6FA2">
        <w:rPr>
          <w:b/>
        </w:rPr>
        <w:t xml:space="preserve">. Conectividad directa al </w:t>
      </w:r>
      <w:r w:rsidR="00EB156C">
        <w:rPr>
          <w:b/>
        </w:rPr>
        <w:t>Medidor Multifunción para Liquidaciones</w:t>
      </w:r>
    </w:p>
    <w:p w14:paraId="5AFA0A76" w14:textId="77777777" w:rsidR="00656220" w:rsidRDefault="00080BD6" w:rsidP="00080BD6">
      <w:pPr>
        <w:pStyle w:val="Inciso"/>
        <w:numPr>
          <w:ilvl w:val="0"/>
          <w:numId w:val="0"/>
        </w:numPr>
        <w:ind w:left="851"/>
      </w:pPr>
      <w:r w:rsidRPr="00080BD6">
        <w:rPr>
          <w:noProof/>
          <w:lang w:eastAsia="es-MX" w:bidi="ar-SA"/>
        </w:rPr>
        <w:drawing>
          <wp:inline distT="0" distB="0" distL="0" distR="0" wp14:anchorId="2FAF0AF3" wp14:editId="05EEB47D">
            <wp:extent cx="4926842" cy="3033703"/>
            <wp:effectExtent l="19050" t="19050" r="26670" b="14605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36065" cy="303938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5702F21" w14:textId="480AE77A" w:rsidR="00D80D97" w:rsidRDefault="00D80D97" w:rsidP="001C3343">
      <w:pPr>
        <w:pStyle w:val="Numeral"/>
        <w:numPr>
          <w:ilvl w:val="0"/>
          <w:numId w:val="0"/>
        </w:numPr>
      </w:pPr>
    </w:p>
    <w:p w14:paraId="7AB31D88" w14:textId="77777777" w:rsidR="00656220" w:rsidRDefault="00656220" w:rsidP="003B6FA2">
      <w:pPr>
        <w:pStyle w:val="Inciso"/>
        <w:numPr>
          <w:ilvl w:val="0"/>
          <w:numId w:val="0"/>
        </w:numPr>
        <w:rPr>
          <w:u w:val="single"/>
        </w:rPr>
      </w:pPr>
    </w:p>
    <w:p w14:paraId="4480F519" w14:textId="0216CE39" w:rsidR="00D80D97" w:rsidRPr="001C3343" w:rsidRDefault="00DC60D6" w:rsidP="008455B8">
      <w:pPr>
        <w:pStyle w:val="Inciso"/>
        <w:ind w:left="1418"/>
      </w:pPr>
      <w:r>
        <w:t xml:space="preserve">La Central Eléctrica o </w:t>
      </w:r>
      <w:r w:rsidR="008455B8">
        <w:t xml:space="preserve">el </w:t>
      </w:r>
      <w:r>
        <w:t>Centro de Carga</w:t>
      </w:r>
      <w:r w:rsidR="00D80D97" w:rsidRPr="001C3343">
        <w:t xml:space="preserve"> implementará</w:t>
      </w:r>
      <w:r>
        <w:t xml:space="preserve"> </w:t>
      </w:r>
      <w:r w:rsidR="00D80D97" w:rsidRPr="001C3343">
        <w:t xml:space="preserve">un </w:t>
      </w:r>
      <w:r w:rsidR="008455B8">
        <w:t>medio</w:t>
      </w:r>
      <w:r w:rsidR="008455B8" w:rsidRPr="001C3343">
        <w:t xml:space="preserve"> </w:t>
      </w:r>
      <w:r w:rsidR="00D80D97" w:rsidRPr="001C3343">
        <w:t xml:space="preserve">de comunicación directo hacia el </w:t>
      </w:r>
      <w:r w:rsidR="00447550">
        <w:t>P</w:t>
      </w:r>
      <w:r w:rsidR="00D80D97" w:rsidRPr="001C3343">
        <w:t xml:space="preserve">unto de </w:t>
      </w:r>
      <w:r w:rsidR="00447550">
        <w:t>C</w:t>
      </w:r>
      <w:r w:rsidR="00D80D97" w:rsidRPr="001C3343">
        <w:t>onectividad definido por el Transportista</w:t>
      </w:r>
      <w:r w:rsidR="009E7B7E">
        <w:t xml:space="preserve"> o Di</w:t>
      </w:r>
      <w:r w:rsidR="00B10D41">
        <w:t>stri</w:t>
      </w:r>
      <w:r w:rsidR="009E7B7E">
        <w:t>buidor</w:t>
      </w:r>
      <w:r w:rsidR="00D80D97" w:rsidRPr="001C3343">
        <w:t xml:space="preserve"> para la recepción de la información de medición para liquidaci</w:t>
      </w:r>
      <w:r w:rsidR="000F1E89">
        <w:t>ones</w:t>
      </w:r>
      <w:r w:rsidR="00D80D97" w:rsidRPr="001C3343">
        <w:t>.</w:t>
      </w:r>
    </w:p>
    <w:p w14:paraId="2247A251" w14:textId="00D7A2FC" w:rsidR="00D80D97" w:rsidRPr="001C3343" w:rsidRDefault="00DC60D6" w:rsidP="008455B8">
      <w:pPr>
        <w:pStyle w:val="Inciso"/>
        <w:ind w:left="1418"/>
      </w:pPr>
      <w:r>
        <w:t xml:space="preserve">El </w:t>
      </w:r>
      <w:r w:rsidR="00D80D97" w:rsidRPr="001C3343">
        <w:t xml:space="preserve">medio de comunicación debe </w:t>
      </w:r>
      <w:r>
        <w:t>ser</w:t>
      </w:r>
      <w:r w:rsidR="00D80D97" w:rsidRPr="001C3343">
        <w:t xml:space="preserve"> fibra</w:t>
      </w:r>
      <w:r>
        <w:t xml:space="preserve"> óptica con</w:t>
      </w:r>
      <w:r w:rsidR="00D80D97" w:rsidRPr="001C3343">
        <w:t xml:space="preserve"> una interfaz Base</w:t>
      </w:r>
      <w:r>
        <w:t>-</w:t>
      </w:r>
      <w:r w:rsidR="00D80D97" w:rsidRPr="001C3343">
        <w:t>X,</w:t>
      </w:r>
      <w:r>
        <w:t xml:space="preserve"> que vaya</w:t>
      </w:r>
      <w:r w:rsidR="00B10D41">
        <w:t xml:space="preserve"> desde las instalaciones </w:t>
      </w:r>
      <w:r>
        <w:t xml:space="preserve">de comunicaciones </w:t>
      </w:r>
      <w:r w:rsidR="00B10D41">
        <w:t xml:space="preserve">de la Central Eléctrica o </w:t>
      </w:r>
      <w:r w:rsidR="008455B8">
        <w:t xml:space="preserve">el </w:t>
      </w:r>
      <w:r w:rsidR="00B10D41">
        <w:t xml:space="preserve">Centro de Carga hasta el </w:t>
      </w:r>
      <w:r w:rsidR="00447550">
        <w:t>Punto de Conectividad</w:t>
      </w:r>
      <w:r>
        <w:t xml:space="preserve"> con el Transportista o Distribuidor</w:t>
      </w:r>
      <w:r w:rsidR="00B10D41">
        <w:t>,</w:t>
      </w:r>
      <w:r>
        <w:t xml:space="preserve"> y deberá</w:t>
      </w:r>
      <w:r w:rsidR="00D80D97" w:rsidRPr="001C3343">
        <w:t xml:space="preserve"> </w:t>
      </w:r>
      <w:r>
        <w:t>cumplir con</w:t>
      </w:r>
      <w:r w:rsidR="00D80D97" w:rsidRPr="001C3343">
        <w:t xml:space="preserve"> los parámetros de </w:t>
      </w:r>
      <w:r w:rsidR="00B2047D">
        <w:t xml:space="preserve">comunicación </w:t>
      </w:r>
      <w:r w:rsidR="00D80D97" w:rsidRPr="001C3343">
        <w:t>que establezca el Transportista o Distribuidor.</w:t>
      </w:r>
    </w:p>
    <w:p w14:paraId="312AB5EC" w14:textId="58F0A9AF" w:rsidR="00D80D97" w:rsidRPr="001C3343" w:rsidRDefault="00D80D97" w:rsidP="008455B8">
      <w:pPr>
        <w:pStyle w:val="Inciso"/>
        <w:ind w:left="1418"/>
      </w:pPr>
      <w:r w:rsidRPr="001C3343">
        <w:t xml:space="preserve">El extremo del medio de comunicación que corresponda a las instalaciones </w:t>
      </w:r>
      <w:r w:rsidR="008455B8">
        <w:t>de la Central Eléctrica o del Centro de Carga</w:t>
      </w:r>
      <w:r w:rsidR="008455B8" w:rsidRPr="001C3343">
        <w:t xml:space="preserve"> </w:t>
      </w:r>
      <w:r w:rsidRPr="001C3343">
        <w:t xml:space="preserve"> debe conectarse en forma directa</w:t>
      </w:r>
      <w:r w:rsidR="00DC60D6">
        <w:t xml:space="preserve"> a</w:t>
      </w:r>
      <w:r w:rsidR="00DC60D6" w:rsidRPr="00E05AC7">
        <w:t xml:space="preserve">l puerto de comunicación del </w:t>
      </w:r>
      <w:r w:rsidR="008455B8">
        <w:t>M</w:t>
      </w:r>
      <w:r w:rsidR="00DC60D6" w:rsidRPr="00E05AC7">
        <w:t xml:space="preserve">edidor </w:t>
      </w:r>
      <w:r w:rsidR="008455B8">
        <w:t>M</w:t>
      </w:r>
      <w:r w:rsidR="00DC60D6">
        <w:t xml:space="preserve">ultifunción para </w:t>
      </w:r>
      <w:r w:rsidR="008455B8">
        <w:t>L</w:t>
      </w:r>
      <w:r w:rsidR="00DC60D6">
        <w:t>iquidaciones</w:t>
      </w:r>
      <w:r w:rsidRPr="001C3343">
        <w:t xml:space="preserve">, mediante un canal </w:t>
      </w:r>
      <w:r w:rsidR="003B6FA2">
        <w:t>Ethernet</w:t>
      </w:r>
      <w:r w:rsidRPr="001C3343">
        <w:t xml:space="preserve"> Base</w:t>
      </w:r>
      <w:r w:rsidR="00DC60D6">
        <w:t>-</w:t>
      </w:r>
      <w:r w:rsidRPr="001C3343">
        <w:t>T o Base</w:t>
      </w:r>
      <w:r w:rsidR="00DC60D6">
        <w:t>-</w:t>
      </w:r>
      <w:r w:rsidRPr="001C3343">
        <w:t>X</w:t>
      </w:r>
      <w:r w:rsidR="00DC60D6">
        <w:t xml:space="preserve">. </w:t>
      </w:r>
    </w:p>
    <w:p w14:paraId="259525B3" w14:textId="77777777" w:rsidR="008405F7" w:rsidRDefault="008405F7"/>
    <w:sectPr w:rsidR="008405F7">
      <w:headerReference w:type="default" r:id="rId14"/>
      <w:footerReference w:type="default" r:id="rId1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4F27731" w15:done="0"/>
  <w15:commentEx w15:paraId="44D3927B" w15:done="0"/>
  <w15:commentEx w15:paraId="03A73FF2" w15:done="0"/>
  <w15:commentEx w15:paraId="424CD06D" w15:done="0"/>
  <w15:commentEx w15:paraId="17E4B134" w15:done="0"/>
  <w15:commentEx w15:paraId="3B6ED5EF" w15:done="0"/>
  <w15:commentEx w15:paraId="2611F496" w15:done="0"/>
  <w15:commentEx w15:paraId="19E0F244" w15:done="0"/>
  <w15:commentEx w15:paraId="65BAD106" w15:done="0"/>
  <w15:commentEx w15:paraId="4AF1C778" w15:done="0"/>
  <w15:commentEx w15:paraId="387E1CD6" w15:done="0"/>
  <w15:commentEx w15:paraId="59251A34" w15:done="0"/>
  <w15:commentEx w15:paraId="7F6B1C45" w15:done="0"/>
  <w15:commentEx w15:paraId="4B288C09" w15:done="0"/>
  <w15:commentEx w15:paraId="6D91109B" w15:done="0"/>
  <w15:commentEx w15:paraId="7136F441" w15:done="0"/>
  <w15:commentEx w15:paraId="64455BD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3FBBA5" w14:textId="77777777" w:rsidR="00AB195A" w:rsidRDefault="00AB195A" w:rsidP="00F84254">
      <w:pPr>
        <w:spacing w:after="0" w:line="240" w:lineRule="auto"/>
      </w:pPr>
      <w:r>
        <w:separator/>
      </w:r>
    </w:p>
  </w:endnote>
  <w:endnote w:type="continuationSeparator" w:id="0">
    <w:p w14:paraId="3997288A" w14:textId="77777777" w:rsidR="00AB195A" w:rsidRDefault="00AB195A" w:rsidP="00F84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2579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FACE28A" w14:textId="0BE58E77" w:rsidR="003B6FA2" w:rsidRDefault="003B6FA2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6378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6378B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F7F912" w14:textId="77777777" w:rsidR="00B2047D" w:rsidRDefault="00B2047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AE4EC1" w14:textId="77777777" w:rsidR="00AB195A" w:rsidRDefault="00AB195A" w:rsidP="00F84254">
      <w:pPr>
        <w:spacing w:after="0" w:line="240" w:lineRule="auto"/>
      </w:pPr>
      <w:r>
        <w:separator/>
      </w:r>
    </w:p>
  </w:footnote>
  <w:footnote w:type="continuationSeparator" w:id="0">
    <w:p w14:paraId="332CA462" w14:textId="77777777" w:rsidR="00AB195A" w:rsidRDefault="00AB195A" w:rsidP="00F84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3D2E00" w14:textId="62E7C7C0" w:rsidR="00B2047D" w:rsidRPr="00DE46CC" w:rsidRDefault="00B2047D" w:rsidP="008405F7">
    <w:pPr>
      <w:pStyle w:val="Heather"/>
      <w:pBdr>
        <w:bottom w:val="single" w:sz="4" w:space="0" w:color="595959" w:themeColor="text1" w:themeTint="A6"/>
      </w:pBdr>
    </w:pPr>
    <w:r>
      <w:t>A</w:t>
    </w:r>
    <w:r w:rsidR="00E97BE9">
      <w:t>nexo</w:t>
    </w:r>
    <w:r>
      <w:t xml:space="preserve"> </w:t>
    </w:r>
    <w:r w:rsidR="00992624">
      <w:t xml:space="preserve">7 </w:t>
    </w:r>
    <w:r w:rsidR="003B6FA2">
      <w:t>Alternativas de conectividad</w:t>
    </w:r>
    <w:r w:rsidR="00E97BE9">
      <w:t xml:space="preserve"> </w:t>
    </w:r>
    <w:r>
      <w:br/>
      <w:t>Anteproyecto de</w:t>
    </w:r>
    <w:r w:rsidR="003B6FA2">
      <w:t xml:space="preserve">l </w:t>
    </w:r>
    <w:r w:rsidR="00E6378B">
      <w:t>06</w:t>
    </w:r>
    <w:r w:rsidR="00E6378B">
      <w:t xml:space="preserve"> </w:t>
    </w:r>
    <w:r w:rsidRPr="00DE46CC">
      <w:t xml:space="preserve">de </w:t>
    </w:r>
    <w:r w:rsidR="00E6378B">
      <w:t>abril</w:t>
    </w:r>
    <w:r>
      <w:t xml:space="preserve"> </w:t>
    </w:r>
    <w:r w:rsidRPr="00DE46CC">
      <w:t>de 201</w:t>
    </w:r>
    <w:r>
      <w:t xml:space="preserve">7 </w:t>
    </w:r>
  </w:p>
  <w:p w14:paraId="331A8C3E" w14:textId="77777777" w:rsidR="00B2047D" w:rsidRPr="00DF122D" w:rsidRDefault="00B2047D" w:rsidP="008405F7">
    <w:pPr>
      <w:pStyle w:val="Encabezado"/>
      <w:rPr>
        <w:color w:val="595959" w:themeColor="text1" w:themeTint="A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C613E"/>
    <w:multiLevelType w:val="multilevel"/>
    <w:tmpl w:val="695436BE"/>
    <w:lvl w:ilvl="0">
      <w:start w:val="1"/>
      <w:numFmt w:val="decimal"/>
      <w:suff w:val="nothing"/>
      <w:lvlText w:val="CAPÍTULO %1"/>
      <w:lvlJc w:val="left"/>
      <w:pPr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8"/>
        <w:szCs w:val="28"/>
        <w:u w:val="none"/>
        <w:vertAlign w:val="baseline"/>
        <w:em w:val="none"/>
      </w:rPr>
    </w:lvl>
    <w:lvl w:ilvl="1">
      <w:start w:val="1"/>
      <w:numFmt w:val="decimal"/>
      <w:pStyle w:val="Seccin"/>
      <w:lvlText w:val="%1.%2"/>
      <w:lvlJc w:val="left"/>
      <w:pPr>
        <w:ind w:left="851" w:hanging="851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pStyle w:val="Numeral"/>
      <w:lvlText w:val="%1.%2.%3"/>
      <w:lvlJc w:val="left"/>
      <w:pPr>
        <w:ind w:left="851" w:hanging="851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  <w:lang w:val="es-MX"/>
      </w:rPr>
    </w:lvl>
    <w:lvl w:ilvl="3">
      <w:start w:val="1"/>
      <w:numFmt w:val="lowerLetter"/>
      <w:pStyle w:val="Inciso"/>
      <w:lvlText w:val="(%4)"/>
      <w:lvlJc w:val="left"/>
      <w:pPr>
        <w:ind w:left="2269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4">
      <w:start w:val="1"/>
      <w:numFmt w:val="lowerRoman"/>
      <w:pStyle w:val="Subinciso"/>
      <w:lvlText w:val="(%5)"/>
      <w:lvlJc w:val="left"/>
      <w:pPr>
        <w:ind w:left="1985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5">
      <w:start w:val="1"/>
      <w:numFmt w:val="upperLetter"/>
      <w:lvlRestart w:val="2"/>
      <w:pStyle w:val="Apartado"/>
      <w:lvlText w:val="(%6)"/>
      <w:lvlJc w:val="left"/>
      <w:pPr>
        <w:ind w:left="2836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6">
      <w:start w:val="1"/>
      <w:numFmt w:val="upperRoman"/>
      <w:pStyle w:val="Subapartado"/>
      <w:lvlText w:val="(%7)"/>
      <w:lvlJc w:val="left"/>
      <w:pPr>
        <w:ind w:left="3119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  <w:em w:val="none"/>
      </w:rPr>
    </w:lvl>
    <w:lvl w:ilvl="7">
      <w:start w:val="1"/>
      <w:numFmt w:val="lowerLetter"/>
      <w:pStyle w:val="SSInciso"/>
      <w:lvlText w:val="(%8)"/>
      <w:lvlJc w:val="left"/>
      <w:pPr>
        <w:ind w:left="1701" w:hanging="567"/>
      </w:pPr>
      <w:rPr>
        <w:rFonts w:hint="default"/>
        <w:b w:val="0"/>
      </w:rPr>
    </w:lvl>
    <w:lvl w:ilvl="8">
      <w:start w:val="1"/>
      <w:numFmt w:val="lowerRoman"/>
      <w:pStyle w:val="SSSubinciso"/>
      <w:lvlText w:val="(%9)"/>
      <w:lvlJc w:val="left"/>
      <w:pPr>
        <w:ind w:left="2268" w:hanging="567"/>
      </w:pPr>
      <w:rPr>
        <w:rFonts w:ascii="Arial" w:hAnsi="Arial" w:cs="Arial" w:hint="default"/>
        <w:b w:val="0"/>
        <w:i w:val="0"/>
        <w:sz w:val="20"/>
      </w:rPr>
    </w:lvl>
  </w:abstractNum>
  <w:abstractNum w:abstractNumId="1">
    <w:nsid w:val="52913C2F"/>
    <w:multiLevelType w:val="multilevel"/>
    <w:tmpl w:val="53D0CA0A"/>
    <w:lvl w:ilvl="0">
      <w:start w:val="1"/>
      <w:numFmt w:val="decimal"/>
      <w:suff w:val="nothing"/>
      <w:lvlText w:val="CAPÍTULO %1"/>
      <w:lvlJc w:val="left"/>
      <w:pPr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8"/>
        <w:szCs w:val="28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  <w:lang w:val="es-MX"/>
      </w:rPr>
    </w:lvl>
    <w:lvl w:ilvl="3">
      <w:start w:val="1"/>
      <w:numFmt w:val="upperLetter"/>
      <w:lvlText w:val="%4."/>
      <w:lvlJc w:val="left"/>
      <w:pPr>
        <w:ind w:left="1418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4">
      <w:start w:val="1"/>
      <w:numFmt w:val="lowerRoman"/>
      <w:lvlText w:val="(%5)"/>
      <w:lvlJc w:val="left"/>
      <w:pPr>
        <w:ind w:left="1985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5">
      <w:start w:val="1"/>
      <w:numFmt w:val="upperLetter"/>
      <w:lvlRestart w:val="2"/>
      <w:lvlText w:val="(%6)"/>
      <w:lvlJc w:val="left"/>
      <w:pPr>
        <w:ind w:left="2836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6">
      <w:start w:val="1"/>
      <w:numFmt w:val="upperRoman"/>
      <w:lvlText w:val="(%7)"/>
      <w:lvlJc w:val="left"/>
      <w:pPr>
        <w:ind w:left="3119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  <w:em w:val="none"/>
      </w:rPr>
    </w:lvl>
    <w:lvl w:ilvl="7">
      <w:start w:val="1"/>
      <w:numFmt w:val="lowerLetter"/>
      <w:lvlText w:val="(%8)"/>
      <w:lvlJc w:val="left"/>
      <w:pPr>
        <w:ind w:left="1701" w:hanging="567"/>
      </w:pPr>
      <w:rPr>
        <w:rFonts w:hint="default"/>
        <w:b w:val="0"/>
      </w:rPr>
    </w:lvl>
    <w:lvl w:ilvl="8">
      <w:start w:val="1"/>
      <w:numFmt w:val="lowerRoman"/>
      <w:lvlText w:val="(%9)"/>
      <w:lvlJc w:val="left"/>
      <w:pPr>
        <w:ind w:left="2268" w:hanging="567"/>
      </w:pPr>
      <w:rPr>
        <w:rFonts w:ascii="Arial" w:hAnsi="Arial" w:cs="Arial" w:hint="default"/>
        <w:b w:val="0"/>
        <w:i w:val="0"/>
        <w:sz w:val="20"/>
      </w:rPr>
    </w:lvl>
  </w:abstractNum>
  <w:abstractNum w:abstractNumId="2">
    <w:nsid w:val="7CE07BC0"/>
    <w:multiLevelType w:val="hybridMultilevel"/>
    <w:tmpl w:val="AE94024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1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rosoft Office User">
    <w15:presenceInfo w15:providerId="None" w15:userId="Microsoft Office User"/>
  </w15:person>
  <w15:person w15:author="Roberto Cota Grijalva">
    <w15:presenceInfo w15:providerId="None" w15:userId="Roberto Cota Grijal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3C3"/>
    <w:rsid w:val="00023B2F"/>
    <w:rsid w:val="000406A2"/>
    <w:rsid w:val="00075D58"/>
    <w:rsid w:val="00080BD6"/>
    <w:rsid w:val="000914B9"/>
    <w:rsid w:val="000A55E4"/>
    <w:rsid w:val="000C1F13"/>
    <w:rsid w:val="000F1E89"/>
    <w:rsid w:val="001866F8"/>
    <w:rsid w:val="00187DE4"/>
    <w:rsid w:val="001B07DC"/>
    <w:rsid w:val="001B0C30"/>
    <w:rsid w:val="001C3343"/>
    <w:rsid w:val="001D2430"/>
    <w:rsid w:val="00226F08"/>
    <w:rsid w:val="002F4285"/>
    <w:rsid w:val="00337C70"/>
    <w:rsid w:val="003B4759"/>
    <w:rsid w:val="003B6FA2"/>
    <w:rsid w:val="00427083"/>
    <w:rsid w:val="00430ABC"/>
    <w:rsid w:val="004427E5"/>
    <w:rsid w:val="0044526D"/>
    <w:rsid w:val="00445431"/>
    <w:rsid w:val="00447550"/>
    <w:rsid w:val="004624A3"/>
    <w:rsid w:val="00463380"/>
    <w:rsid w:val="004B63C3"/>
    <w:rsid w:val="004D5E3A"/>
    <w:rsid w:val="004D64CE"/>
    <w:rsid w:val="004F6544"/>
    <w:rsid w:val="004F777B"/>
    <w:rsid w:val="0054764B"/>
    <w:rsid w:val="005974C3"/>
    <w:rsid w:val="005A0FC0"/>
    <w:rsid w:val="005A47FC"/>
    <w:rsid w:val="005C095E"/>
    <w:rsid w:val="005E6718"/>
    <w:rsid w:val="005F4212"/>
    <w:rsid w:val="00656220"/>
    <w:rsid w:val="0067108F"/>
    <w:rsid w:val="00672FDD"/>
    <w:rsid w:val="00676B10"/>
    <w:rsid w:val="00676D90"/>
    <w:rsid w:val="006855C8"/>
    <w:rsid w:val="006B45B5"/>
    <w:rsid w:val="006C76C9"/>
    <w:rsid w:val="007162AD"/>
    <w:rsid w:val="00727C02"/>
    <w:rsid w:val="00786701"/>
    <w:rsid w:val="007D6F88"/>
    <w:rsid w:val="007F1191"/>
    <w:rsid w:val="00801C4E"/>
    <w:rsid w:val="008405F7"/>
    <w:rsid w:val="008455B8"/>
    <w:rsid w:val="00846F5B"/>
    <w:rsid w:val="008A6C12"/>
    <w:rsid w:val="00904E87"/>
    <w:rsid w:val="00920048"/>
    <w:rsid w:val="00946B25"/>
    <w:rsid w:val="00960690"/>
    <w:rsid w:val="009670D6"/>
    <w:rsid w:val="0097633F"/>
    <w:rsid w:val="00992624"/>
    <w:rsid w:val="009C1131"/>
    <w:rsid w:val="009E7B7E"/>
    <w:rsid w:val="00AB195A"/>
    <w:rsid w:val="00B0161D"/>
    <w:rsid w:val="00B10D41"/>
    <w:rsid w:val="00B2047D"/>
    <w:rsid w:val="00B2204B"/>
    <w:rsid w:val="00B23834"/>
    <w:rsid w:val="00B27827"/>
    <w:rsid w:val="00B64A91"/>
    <w:rsid w:val="00B825B8"/>
    <w:rsid w:val="00C46051"/>
    <w:rsid w:val="00CD067C"/>
    <w:rsid w:val="00CD636D"/>
    <w:rsid w:val="00D104CA"/>
    <w:rsid w:val="00D53B73"/>
    <w:rsid w:val="00D80D97"/>
    <w:rsid w:val="00DC444D"/>
    <w:rsid w:val="00DC60D6"/>
    <w:rsid w:val="00DC667D"/>
    <w:rsid w:val="00DE0A24"/>
    <w:rsid w:val="00DF4D7F"/>
    <w:rsid w:val="00E104FD"/>
    <w:rsid w:val="00E6378B"/>
    <w:rsid w:val="00E97BE9"/>
    <w:rsid w:val="00EB156C"/>
    <w:rsid w:val="00EB659F"/>
    <w:rsid w:val="00EC7EC3"/>
    <w:rsid w:val="00ED5F23"/>
    <w:rsid w:val="00F043AD"/>
    <w:rsid w:val="00F7185D"/>
    <w:rsid w:val="00F722A7"/>
    <w:rsid w:val="00F778B7"/>
    <w:rsid w:val="00F84254"/>
    <w:rsid w:val="00F972A3"/>
    <w:rsid w:val="00FA66F0"/>
    <w:rsid w:val="00FC6AC9"/>
    <w:rsid w:val="00FC75CA"/>
    <w:rsid w:val="00FE2D43"/>
    <w:rsid w:val="00FF6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E154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254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eccin">
    <w:name w:val="Sección"/>
    <w:basedOn w:val="Normal"/>
    <w:next w:val="Numeral"/>
    <w:link w:val="SeccinCar"/>
    <w:qFormat/>
    <w:rsid w:val="00F84254"/>
    <w:pPr>
      <w:keepNext/>
      <w:numPr>
        <w:ilvl w:val="1"/>
        <w:numId w:val="1"/>
      </w:numPr>
      <w:tabs>
        <w:tab w:val="left" w:pos="851"/>
      </w:tabs>
      <w:spacing w:before="300" w:after="180" w:line="240" w:lineRule="auto"/>
    </w:pPr>
    <w:rPr>
      <w:rFonts w:ascii="Arial" w:eastAsiaTheme="minorEastAsia" w:hAnsi="Arial" w:cs="Arial"/>
      <w:b/>
      <w:sz w:val="24"/>
      <w:szCs w:val="28"/>
      <w:lang w:bidi="en-US"/>
    </w:rPr>
  </w:style>
  <w:style w:type="paragraph" w:customStyle="1" w:styleId="Numeral">
    <w:name w:val="Numeral"/>
    <w:basedOn w:val="Normal"/>
    <w:link w:val="NumeralCar"/>
    <w:qFormat/>
    <w:rsid w:val="00F84254"/>
    <w:pPr>
      <w:numPr>
        <w:ilvl w:val="2"/>
        <w:numId w:val="1"/>
      </w:numPr>
      <w:spacing w:before="18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character" w:customStyle="1" w:styleId="NumeralCar">
    <w:name w:val="Numeral Car"/>
    <w:basedOn w:val="Fuentedeprrafopredeter"/>
    <w:link w:val="Numeral"/>
    <w:rsid w:val="00F84254"/>
    <w:rPr>
      <w:rFonts w:ascii="Arial" w:eastAsiaTheme="minorEastAsia" w:hAnsi="Arial" w:cs="Arial"/>
      <w:sz w:val="20"/>
      <w:lang w:bidi="en-US"/>
    </w:rPr>
  </w:style>
  <w:style w:type="character" w:customStyle="1" w:styleId="SeccinCar">
    <w:name w:val="Sección Car"/>
    <w:basedOn w:val="Fuentedeprrafopredeter"/>
    <w:link w:val="Seccin"/>
    <w:rsid w:val="00F84254"/>
    <w:rPr>
      <w:rFonts w:ascii="Arial" w:eastAsiaTheme="minorEastAsia" w:hAnsi="Arial" w:cs="Arial"/>
      <w:b/>
      <w:sz w:val="24"/>
      <w:szCs w:val="28"/>
      <w:lang w:bidi="en-US"/>
    </w:rPr>
  </w:style>
  <w:style w:type="paragraph" w:customStyle="1" w:styleId="Inciso">
    <w:name w:val="Inciso"/>
    <w:basedOn w:val="Normal"/>
    <w:link w:val="IncisoCar"/>
    <w:qFormat/>
    <w:rsid w:val="00F84254"/>
    <w:pPr>
      <w:numPr>
        <w:ilvl w:val="3"/>
        <w:numId w:val="1"/>
      </w:numPr>
      <w:tabs>
        <w:tab w:val="left" w:pos="567"/>
      </w:tabs>
      <w:spacing w:before="18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character" w:customStyle="1" w:styleId="IncisoCar">
    <w:name w:val="Inciso Car"/>
    <w:basedOn w:val="Fuentedeprrafopredeter"/>
    <w:link w:val="Inciso"/>
    <w:rsid w:val="00F84254"/>
    <w:rPr>
      <w:rFonts w:ascii="Arial" w:eastAsiaTheme="minorEastAsia" w:hAnsi="Arial" w:cs="Arial"/>
      <w:sz w:val="20"/>
      <w:lang w:bidi="en-US"/>
    </w:rPr>
  </w:style>
  <w:style w:type="paragraph" w:customStyle="1" w:styleId="Subinciso">
    <w:name w:val="Subinciso"/>
    <w:basedOn w:val="Normal"/>
    <w:qFormat/>
    <w:rsid w:val="00F84254"/>
    <w:pPr>
      <w:numPr>
        <w:ilvl w:val="4"/>
        <w:numId w:val="1"/>
      </w:numPr>
      <w:tabs>
        <w:tab w:val="left" w:pos="567"/>
      </w:tabs>
      <w:spacing w:before="18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paragraph" w:customStyle="1" w:styleId="Apartado">
    <w:name w:val="Apartado"/>
    <w:basedOn w:val="Normal"/>
    <w:qFormat/>
    <w:rsid w:val="00F84254"/>
    <w:pPr>
      <w:numPr>
        <w:ilvl w:val="5"/>
        <w:numId w:val="1"/>
      </w:numPr>
      <w:spacing w:before="12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paragraph" w:customStyle="1" w:styleId="SSInciso">
    <w:name w:val="SS Inciso"/>
    <w:basedOn w:val="Normal"/>
    <w:rsid w:val="00F84254"/>
    <w:pPr>
      <w:numPr>
        <w:ilvl w:val="7"/>
        <w:numId w:val="1"/>
      </w:numPr>
      <w:tabs>
        <w:tab w:val="left" w:pos="567"/>
      </w:tabs>
      <w:spacing w:before="180" w:after="120" w:line="240" w:lineRule="auto"/>
      <w:jc w:val="both"/>
    </w:pPr>
    <w:rPr>
      <w:rFonts w:ascii="Calibri" w:eastAsiaTheme="minorEastAsia" w:hAnsi="Calibri" w:cs="Arial"/>
      <w:sz w:val="24"/>
      <w:lang w:bidi="en-US"/>
    </w:rPr>
  </w:style>
  <w:style w:type="paragraph" w:customStyle="1" w:styleId="SSSubinciso">
    <w:name w:val="SS Subinciso"/>
    <w:basedOn w:val="Normal"/>
    <w:rsid w:val="00F84254"/>
    <w:pPr>
      <w:numPr>
        <w:ilvl w:val="8"/>
        <w:numId w:val="1"/>
      </w:numPr>
      <w:tabs>
        <w:tab w:val="left" w:pos="567"/>
      </w:tabs>
      <w:spacing w:before="180" w:after="120" w:line="240" w:lineRule="auto"/>
      <w:jc w:val="both"/>
    </w:pPr>
    <w:rPr>
      <w:rFonts w:ascii="Calibri" w:eastAsiaTheme="minorEastAsia" w:hAnsi="Calibri" w:cs="Arial"/>
      <w:sz w:val="24"/>
      <w:lang w:bidi="en-US"/>
    </w:rPr>
  </w:style>
  <w:style w:type="paragraph" w:customStyle="1" w:styleId="Subapartado">
    <w:name w:val="Subapartado"/>
    <w:basedOn w:val="Normal"/>
    <w:qFormat/>
    <w:rsid w:val="00F84254"/>
    <w:pPr>
      <w:numPr>
        <w:ilvl w:val="6"/>
        <w:numId w:val="1"/>
      </w:numPr>
      <w:tabs>
        <w:tab w:val="left" w:pos="567"/>
      </w:tabs>
      <w:spacing w:before="12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character" w:customStyle="1" w:styleId="body0020text0020first0020indentchar">
    <w:name w:val="body_0020text_0020first_0020indent__char"/>
    <w:basedOn w:val="Fuentedeprrafopredeter"/>
    <w:rsid w:val="00F84254"/>
  </w:style>
  <w:style w:type="paragraph" w:styleId="Encabezado">
    <w:name w:val="header"/>
    <w:basedOn w:val="Normal"/>
    <w:link w:val="EncabezadoCar"/>
    <w:uiPriority w:val="99"/>
    <w:unhideWhenUsed/>
    <w:rsid w:val="00F84254"/>
    <w:pPr>
      <w:tabs>
        <w:tab w:val="left" w:pos="567"/>
        <w:tab w:val="center" w:pos="4320"/>
        <w:tab w:val="right" w:pos="8640"/>
      </w:tabs>
      <w:spacing w:after="0" w:line="240" w:lineRule="auto"/>
      <w:jc w:val="both"/>
    </w:pPr>
    <w:rPr>
      <w:rFonts w:ascii="Calibri" w:eastAsiaTheme="minorEastAsia" w:hAnsi="Calibri" w:cs="Arial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F84254"/>
    <w:rPr>
      <w:rFonts w:ascii="Calibri" w:eastAsiaTheme="minorEastAsia" w:hAnsi="Calibri" w:cs="Arial"/>
      <w:sz w:val="24"/>
      <w:szCs w:val="24"/>
    </w:rPr>
  </w:style>
  <w:style w:type="paragraph" w:customStyle="1" w:styleId="Heather">
    <w:name w:val="Heather"/>
    <w:basedOn w:val="Encabezado"/>
    <w:link w:val="HeatherCar"/>
    <w:rsid w:val="00F84254"/>
    <w:pPr>
      <w:jc w:val="right"/>
    </w:pPr>
    <w:rPr>
      <w:rFonts w:ascii="Verdana" w:hAnsi="Verdana"/>
      <w:b/>
      <w:i/>
      <w:color w:val="595959" w:themeColor="text1" w:themeTint="A6"/>
      <w:sz w:val="18"/>
      <w:szCs w:val="18"/>
    </w:rPr>
  </w:style>
  <w:style w:type="character" w:customStyle="1" w:styleId="HeatherCar">
    <w:name w:val="Heather Car"/>
    <w:basedOn w:val="EncabezadoCar"/>
    <w:link w:val="Heather"/>
    <w:rsid w:val="00F84254"/>
    <w:rPr>
      <w:rFonts w:ascii="Verdana" w:eastAsiaTheme="minorEastAsia" w:hAnsi="Verdana" w:cs="Arial"/>
      <w:b/>
      <w:i/>
      <w:color w:val="595959" w:themeColor="text1" w:themeTint="A6"/>
      <w:sz w:val="18"/>
      <w:szCs w:val="18"/>
    </w:rPr>
  </w:style>
  <w:style w:type="paragraph" w:customStyle="1" w:styleId="Portadaarriba">
    <w:name w:val="Portada arriba"/>
    <w:basedOn w:val="Normal"/>
    <w:link w:val="PortadaarribaCar"/>
    <w:qFormat/>
    <w:rsid w:val="00F84254"/>
    <w:pPr>
      <w:pBdr>
        <w:bottom w:val="single" w:sz="8" w:space="1" w:color="auto"/>
      </w:pBdr>
      <w:tabs>
        <w:tab w:val="left" w:pos="567"/>
      </w:tabs>
      <w:spacing w:before="480" w:after="120" w:line="240" w:lineRule="auto"/>
      <w:jc w:val="center"/>
    </w:pPr>
    <w:rPr>
      <w:rFonts w:ascii="Calibri" w:eastAsia="Calibri" w:hAnsi="Calibri" w:cs="Arial"/>
      <w:b/>
      <w:sz w:val="56"/>
      <w:szCs w:val="56"/>
      <w:lang w:bidi="en-US"/>
    </w:rPr>
  </w:style>
  <w:style w:type="paragraph" w:customStyle="1" w:styleId="Portadaabajo">
    <w:name w:val="Portada abajo"/>
    <w:basedOn w:val="Normal"/>
    <w:link w:val="PortadaabajoCar"/>
    <w:qFormat/>
    <w:rsid w:val="00F84254"/>
    <w:pPr>
      <w:tabs>
        <w:tab w:val="left" w:pos="567"/>
      </w:tabs>
      <w:spacing w:after="1200" w:line="240" w:lineRule="auto"/>
      <w:jc w:val="center"/>
    </w:pPr>
    <w:rPr>
      <w:rFonts w:ascii="Calibri" w:eastAsia="Calibri" w:hAnsi="Calibri" w:cs="Arial"/>
      <w:sz w:val="48"/>
      <w:szCs w:val="24"/>
      <w:lang w:bidi="en-US"/>
    </w:rPr>
  </w:style>
  <w:style w:type="character" w:customStyle="1" w:styleId="PortadaarribaCar">
    <w:name w:val="Portada arriba Car"/>
    <w:basedOn w:val="Fuentedeprrafopredeter"/>
    <w:link w:val="Portadaarriba"/>
    <w:rsid w:val="00F84254"/>
    <w:rPr>
      <w:rFonts w:ascii="Calibri" w:eastAsia="Calibri" w:hAnsi="Calibri" w:cs="Arial"/>
      <w:b/>
      <w:sz w:val="56"/>
      <w:szCs w:val="56"/>
      <w:lang w:bidi="en-US"/>
    </w:rPr>
  </w:style>
  <w:style w:type="character" w:customStyle="1" w:styleId="PortadaabajoCar">
    <w:name w:val="Portada abajo Car"/>
    <w:basedOn w:val="Fuentedeprrafopredeter"/>
    <w:link w:val="Portadaabajo"/>
    <w:rsid w:val="00F84254"/>
    <w:rPr>
      <w:rFonts w:ascii="Calibri" w:eastAsia="Calibri" w:hAnsi="Calibri" w:cs="Arial"/>
      <w:sz w:val="48"/>
      <w:szCs w:val="24"/>
      <w:lang w:bidi="en-US"/>
    </w:rPr>
  </w:style>
  <w:style w:type="paragraph" w:styleId="Piedepgina">
    <w:name w:val="footer"/>
    <w:basedOn w:val="Normal"/>
    <w:link w:val="PiedepginaCar"/>
    <w:uiPriority w:val="99"/>
    <w:unhideWhenUsed/>
    <w:rsid w:val="00F842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4254"/>
  </w:style>
  <w:style w:type="character" w:styleId="Hipervnculo">
    <w:name w:val="Hyperlink"/>
    <w:basedOn w:val="Fuentedeprrafopredeter"/>
    <w:uiPriority w:val="99"/>
    <w:unhideWhenUsed/>
    <w:rsid w:val="00F84254"/>
    <w:rPr>
      <w:color w:val="0563C1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2F4285"/>
    <w:pPr>
      <w:tabs>
        <w:tab w:val="left" w:pos="567"/>
        <w:tab w:val="right" w:leader="dot" w:pos="8789"/>
      </w:tabs>
      <w:spacing w:after="100" w:line="240" w:lineRule="auto"/>
      <w:ind w:left="567" w:hanging="567"/>
    </w:pPr>
    <w:rPr>
      <w:rFonts w:ascii="Arial" w:eastAsiaTheme="minorEastAsia" w:hAnsi="Arial" w:cs="Arial"/>
      <w:noProof/>
      <w:snapToGrid w:val="0"/>
      <w:w w:val="0"/>
      <w:sz w:val="20"/>
      <w:szCs w:val="20"/>
      <w:lang w:eastAsia="es-MX" w:bidi="en-US"/>
    </w:rPr>
  </w:style>
  <w:style w:type="paragraph" w:customStyle="1" w:styleId="Contenido">
    <w:name w:val="Contenido"/>
    <w:basedOn w:val="Normal"/>
    <w:link w:val="ContenidoCar"/>
    <w:qFormat/>
    <w:rsid w:val="00F84254"/>
    <w:pPr>
      <w:tabs>
        <w:tab w:val="left" w:pos="567"/>
      </w:tabs>
      <w:spacing w:before="180" w:after="360" w:line="240" w:lineRule="auto"/>
      <w:jc w:val="center"/>
    </w:pPr>
    <w:rPr>
      <w:rFonts w:ascii="Calibri" w:eastAsiaTheme="minorEastAsia" w:hAnsi="Calibri" w:cs="Arial"/>
      <w:b/>
      <w:sz w:val="32"/>
      <w:lang w:bidi="en-US"/>
    </w:rPr>
  </w:style>
  <w:style w:type="character" w:customStyle="1" w:styleId="ContenidoCar">
    <w:name w:val="Contenido Car"/>
    <w:basedOn w:val="Fuentedeprrafopredeter"/>
    <w:link w:val="Contenido"/>
    <w:rsid w:val="00F84254"/>
    <w:rPr>
      <w:rFonts w:ascii="Calibri" w:eastAsiaTheme="minorEastAsia" w:hAnsi="Calibri" w:cs="Arial"/>
      <w:b/>
      <w:sz w:val="32"/>
      <w:lang w:bidi="en-US"/>
    </w:rPr>
  </w:style>
  <w:style w:type="table" w:styleId="Tablaconcuadrcula">
    <w:name w:val="Table Grid"/>
    <w:basedOn w:val="Tablanormal"/>
    <w:uiPriority w:val="59"/>
    <w:rsid w:val="00ED5F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A66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66F0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FE2D4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E2D4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E2D4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E2D4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2D43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A6C1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254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eccin">
    <w:name w:val="Sección"/>
    <w:basedOn w:val="Normal"/>
    <w:next w:val="Numeral"/>
    <w:link w:val="SeccinCar"/>
    <w:qFormat/>
    <w:rsid w:val="00F84254"/>
    <w:pPr>
      <w:keepNext/>
      <w:numPr>
        <w:ilvl w:val="1"/>
        <w:numId w:val="1"/>
      </w:numPr>
      <w:tabs>
        <w:tab w:val="left" w:pos="851"/>
      </w:tabs>
      <w:spacing w:before="300" w:after="180" w:line="240" w:lineRule="auto"/>
    </w:pPr>
    <w:rPr>
      <w:rFonts w:ascii="Arial" w:eastAsiaTheme="minorEastAsia" w:hAnsi="Arial" w:cs="Arial"/>
      <w:b/>
      <w:sz w:val="24"/>
      <w:szCs w:val="28"/>
      <w:lang w:bidi="en-US"/>
    </w:rPr>
  </w:style>
  <w:style w:type="paragraph" w:customStyle="1" w:styleId="Numeral">
    <w:name w:val="Numeral"/>
    <w:basedOn w:val="Normal"/>
    <w:link w:val="NumeralCar"/>
    <w:qFormat/>
    <w:rsid w:val="00F84254"/>
    <w:pPr>
      <w:numPr>
        <w:ilvl w:val="2"/>
        <w:numId w:val="1"/>
      </w:numPr>
      <w:spacing w:before="18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character" w:customStyle="1" w:styleId="NumeralCar">
    <w:name w:val="Numeral Car"/>
    <w:basedOn w:val="Fuentedeprrafopredeter"/>
    <w:link w:val="Numeral"/>
    <w:rsid w:val="00F84254"/>
    <w:rPr>
      <w:rFonts w:ascii="Arial" w:eastAsiaTheme="minorEastAsia" w:hAnsi="Arial" w:cs="Arial"/>
      <w:sz w:val="20"/>
      <w:lang w:bidi="en-US"/>
    </w:rPr>
  </w:style>
  <w:style w:type="character" w:customStyle="1" w:styleId="SeccinCar">
    <w:name w:val="Sección Car"/>
    <w:basedOn w:val="Fuentedeprrafopredeter"/>
    <w:link w:val="Seccin"/>
    <w:rsid w:val="00F84254"/>
    <w:rPr>
      <w:rFonts w:ascii="Arial" w:eastAsiaTheme="minorEastAsia" w:hAnsi="Arial" w:cs="Arial"/>
      <w:b/>
      <w:sz w:val="24"/>
      <w:szCs w:val="28"/>
      <w:lang w:bidi="en-US"/>
    </w:rPr>
  </w:style>
  <w:style w:type="paragraph" w:customStyle="1" w:styleId="Inciso">
    <w:name w:val="Inciso"/>
    <w:basedOn w:val="Normal"/>
    <w:link w:val="IncisoCar"/>
    <w:qFormat/>
    <w:rsid w:val="00F84254"/>
    <w:pPr>
      <w:numPr>
        <w:ilvl w:val="3"/>
        <w:numId w:val="1"/>
      </w:numPr>
      <w:tabs>
        <w:tab w:val="left" w:pos="567"/>
      </w:tabs>
      <w:spacing w:before="18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character" w:customStyle="1" w:styleId="IncisoCar">
    <w:name w:val="Inciso Car"/>
    <w:basedOn w:val="Fuentedeprrafopredeter"/>
    <w:link w:val="Inciso"/>
    <w:rsid w:val="00F84254"/>
    <w:rPr>
      <w:rFonts w:ascii="Arial" w:eastAsiaTheme="minorEastAsia" w:hAnsi="Arial" w:cs="Arial"/>
      <w:sz w:val="20"/>
      <w:lang w:bidi="en-US"/>
    </w:rPr>
  </w:style>
  <w:style w:type="paragraph" w:customStyle="1" w:styleId="Subinciso">
    <w:name w:val="Subinciso"/>
    <w:basedOn w:val="Normal"/>
    <w:qFormat/>
    <w:rsid w:val="00F84254"/>
    <w:pPr>
      <w:numPr>
        <w:ilvl w:val="4"/>
        <w:numId w:val="1"/>
      </w:numPr>
      <w:tabs>
        <w:tab w:val="left" w:pos="567"/>
      </w:tabs>
      <w:spacing w:before="18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paragraph" w:customStyle="1" w:styleId="Apartado">
    <w:name w:val="Apartado"/>
    <w:basedOn w:val="Normal"/>
    <w:qFormat/>
    <w:rsid w:val="00F84254"/>
    <w:pPr>
      <w:numPr>
        <w:ilvl w:val="5"/>
        <w:numId w:val="1"/>
      </w:numPr>
      <w:spacing w:before="12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paragraph" w:customStyle="1" w:styleId="SSInciso">
    <w:name w:val="SS Inciso"/>
    <w:basedOn w:val="Normal"/>
    <w:rsid w:val="00F84254"/>
    <w:pPr>
      <w:numPr>
        <w:ilvl w:val="7"/>
        <w:numId w:val="1"/>
      </w:numPr>
      <w:tabs>
        <w:tab w:val="left" w:pos="567"/>
      </w:tabs>
      <w:spacing w:before="180" w:after="120" w:line="240" w:lineRule="auto"/>
      <w:jc w:val="both"/>
    </w:pPr>
    <w:rPr>
      <w:rFonts w:ascii="Calibri" w:eastAsiaTheme="minorEastAsia" w:hAnsi="Calibri" w:cs="Arial"/>
      <w:sz w:val="24"/>
      <w:lang w:bidi="en-US"/>
    </w:rPr>
  </w:style>
  <w:style w:type="paragraph" w:customStyle="1" w:styleId="SSSubinciso">
    <w:name w:val="SS Subinciso"/>
    <w:basedOn w:val="Normal"/>
    <w:rsid w:val="00F84254"/>
    <w:pPr>
      <w:numPr>
        <w:ilvl w:val="8"/>
        <w:numId w:val="1"/>
      </w:numPr>
      <w:tabs>
        <w:tab w:val="left" w:pos="567"/>
      </w:tabs>
      <w:spacing w:before="180" w:after="120" w:line="240" w:lineRule="auto"/>
      <w:jc w:val="both"/>
    </w:pPr>
    <w:rPr>
      <w:rFonts w:ascii="Calibri" w:eastAsiaTheme="minorEastAsia" w:hAnsi="Calibri" w:cs="Arial"/>
      <w:sz w:val="24"/>
      <w:lang w:bidi="en-US"/>
    </w:rPr>
  </w:style>
  <w:style w:type="paragraph" w:customStyle="1" w:styleId="Subapartado">
    <w:name w:val="Subapartado"/>
    <w:basedOn w:val="Normal"/>
    <w:qFormat/>
    <w:rsid w:val="00F84254"/>
    <w:pPr>
      <w:numPr>
        <w:ilvl w:val="6"/>
        <w:numId w:val="1"/>
      </w:numPr>
      <w:tabs>
        <w:tab w:val="left" w:pos="567"/>
      </w:tabs>
      <w:spacing w:before="12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character" w:customStyle="1" w:styleId="body0020text0020first0020indentchar">
    <w:name w:val="body_0020text_0020first_0020indent__char"/>
    <w:basedOn w:val="Fuentedeprrafopredeter"/>
    <w:rsid w:val="00F84254"/>
  </w:style>
  <w:style w:type="paragraph" w:styleId="Encabezado">
    <w:name w:val="header"/>
    <w:basedOn w:val="Normal"/>
    <w:link w:val="EncabezadoCar"/>
    <w:uiPriority w:val="99"/>
    <w:unhideWhenUsed/>
    <w:rsid w:val="00F84254"/>
    <w:pPr>
      <w:tabs>
        <w:tab w:val="left" w:pos="567"/>
        <w:tab w:val="center" w:pos="4320"/>
        <w:tab w:val="right" w:pos="8640"/>
      </w:tabs>
      <w:spacing w:after="0" w:line="240" w:lineRule="auto"/>
      <w:jc w:val="both"/>
    </w:pPr>
    <w:rPr>
      <w:rFonts w:ascii="Calibri" w:eastAsiaTheme="minorEastAsia" w:hAnsi="Calibri" w:cs="Arial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F84254"/>
    <w:rPr>
      <w:rFonts w:ascii="Calibri" w:eastAsiaTheme="minorEastAsia" w:hAnsi="Calibri" w:cs="Arial"/>
      <w:sz w:val="24"/>
      <w:szCs w:val="24"/>
    </w:rPr>
  </w:style>
  <w:style w:type="paragraph" w:customStyle="1" w:styleId="Heather">
    <w:name w:val="Heather"/>
    <w:basedOn w:val="Encabezado"/>
    <w:link w:val="HeatherCar"/>
    <w:rsid w:val="00F84254"/>
    <w:pPr>
      <w:jc w:val="right"/>
    </w:pPr>
    <w:rPr>
      <w:rFonts w:ascii="Verdana" w:hAnsi="Verdana"/>
      <w:b/>
      <w:i/>
      <w:color w:val="595959" w:themeColor="text1" w:themeTint="A6"/>
      <w:sz w:val="18"/>
      <w:szCs w:val="18"/>
    </w:rPr>
  </w:style>
  <w:style w:type="character" w:customStyle="1" w:styleId="HeatherCar">
    <w:name w:val="Heather Car"/>
    <w:basedOn w:val="EncabezadoCar"/>
    <w:link w:val="Heather"/>
    <w:rsid w:val="00F84254"/>
    <w:rPr>
      <w:rFonts w:ascii="Verdana" w:eastAsiaTheme="minorEastAsia" w:hAnsi="Verdana" w:cs="Arial"/>
      <w:b/>
      <w:i/>
      <w:color w:val="595959" w:themeColor="text1" w:themeTint="A6"/>
      <w:sz w:val="18"/>
      <w:szCs w:val="18"/>
    </w:rPr>
  </w:style>
  <w:style w:type="paragraph" w:customStyle="1" w:styleId="Portadaarriba">
    <w:name w:val="Portada arriba"/>
    <w:basedOn w:val="Normal"/>
    <w:link w:val="PortadaarribaCar"/>
    <w:qFormat/>
    <w:rsid w:val="00F84254"/>
    <w:pPr>
      <w:pBdr>
        <w:bottom w:val="single" w:sz="8" w:space="1" w:color="auto"/>
      </w:pBdr>
      <w:tabs>
        <w:tab w:val="left" w:pos="567"/>
      </w:tabs>
      <w:spacing w:before="480" w:after="120" w:line="240" w:lineRule="auto"/>
      <w:jc w:val="center"/>
    </w:pPr>
    <w:rPr>
      <w:rFonts w:ascii="Calibri" w:eastAsia="Calibri" w:hAnsi="Calibri" w:cs="Arial"/>
      <w:b/>
      <w:sz w:val="56"/>
      <w:szCs w:val="56"/>
      <w:lang w:bidi="en-US"/>
    </w:rPr>
  </w:style>
  <w:style w:type="paragraph" w:customStyle="1" w:styleId="Portadaabajo">
    <w:name w:val="Portada abajo"/>
    <w:basedOn w:val="Normal"/>
    <w:link w:val="PortadaabajoCar"/>
    <w:qFormat/>
    <w:rsid w:val="00F84254"/>
    <w:pPr>
      <w:tabs>
        <w:tab w:val="left" w:pos="567"/>
      </w:tabs>
      <w:spacing w:after="1200" w:line="240" w:lineRule="auto"/>
      <w:jc w:val="center"/>
    </w:pPr>
    <w:rPr>
      <w:rFonts w:ascii="Calibri" w:eastAsia="Calibri" w:hAnsi="Calibri" w:cs="Arial"/>
      <w:sz w:val="48"/>
      <w:szCs w:val="24"/>
      <w:lang w:bidi="en-US"/>
    </w:rPr>
  </w:style>
  <w:style w:type="character" w:customStyle="1" w:styleId="PortadaarribaCar">
    <w:name w:val="Portada arriba Car"/>
    <w:basedOn w:val="Fuentedeprrafopredeter"/>
    <w:link w:val="Portadaarriba"/>
    <w:rsid w:val="00F84254"/>
    <w:rPr>
      <w:rFonts w:ascii="Calibri" w:eastAsia="Calibri" w:hAnsi="Calibri" w:cs="Arial"/>
      <w:b/>
      <w:sz w:val="56"/>
      <w:szCs w:val="56"/>
      <w:lang w:bidi="en-US"/>
    </w:rPr>
  </w:style>
  <w:style w:type="character" w:customStyle="1" w:styleId="PortadaabajoCar">
    <w:name w:val="Portada abajo Car"/>
    <w:basedOn w:val="Fuentedeprrafopredeter"/>
    <w:link w:val="Portadaabajo"/>
    <w:rsid w:val="00F84254"/>
    <w:rPr>
      <w:rFonts w:ascii="Calibri" w:eastAsia="Calibri" w:hAnsi="Calibri" w:cs="Arial"/>
      <w:sz w:val="48"/>
      <w:szCs w:val="24"/>
      <w:lang w:bidi="en-US"/>
    </w:rPr>
  </w:style>
  <w:style w:type="paragraph" w:styleId="Piedepgina">
    <w:name w:val="footer"/>
    <w:basedOn w:val="Normal"/>
    <w:link w:val="PiedepginaCar"/>
    <w:uiPriority w:val="99"/>
    <w:unhideWhenUsed/>
    <w:rsid w:val="00F842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4254"/>
  </w:style>
  <w:style w:type="character" w:styleId="Hipervnculo">
    <w:name w:val="Hyperlink"/>
    <w:basedOn w:val="Fuentedeprrafopredeter"/>
    <w:uiPriority w:val="99"/>
    <w:unhideWhenUsed/>
    <w:rsid w:val="00F84254"/>
    <w:rPr>
      <w:color w:val="0563C1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2F4285"/>
    <w:pPr>
      <w:tabs>
        <w:tab w:val="left" w:pos="567"/>
        <w:tab w:val="right" w:leader="dot" w:pos="8789"/>
      </w:tabs>
      <w:spacing w:after="100" w:line="240" w:lineRule="auto"/>
      <w:ind w:left="567" w:hanging="567"/>
    </w:pPr>
    <w:rPr>
      <w:rFonts w:ascii="Arial" w:eastAsiaTheme="minorEastAsia" w:hAnsi="Arial" w:cs="Arial"/>
      <w:noProof/>
      <w:snapToGrid w:val="0"/>
      <w:w w:val="0"/>
      <w:sz w:val="20"/>
      <w:szCs w:val="20"/>
      <w:lang w:eastAsia="es-MX" w:bidi="en-US"/>
    </w:rPr>
  </w:style>
  <w:style w:type="paragraph" w:customStyle="1" w:styleId="Contenido">
    <w:name w:val="Contenido"/>
    <w:basedOn w:val="Normal"/>
    <w:link w:val="ContenidoCar"/>
    <w:qFormat/>
    <w:rsid w:val="00F84254"/>
    <w:pPr>
      <w:tabs>
        <w:tab w:val="left" w:pos="567"/>
      </w:tabs>
      <w:spacing w:before="180" w:after="360" w:line="240" w:lineRule="auto"/>
      <w:jc w:val="center"/>
    </w:pPr>
    <w:rPr>
      <w:rFonts w:ascii="Calibri" w:eastAsiaTheme="minorEastAsia" w:hAnsi="Calibri" w:cs="Arial"/>
      <w:b/>
      <w:sz w:val="32"/>
      <w:lang w:bidi="en-US"/>
    </w:rPr>
  </w:style>
  <w:style w:type="character" w:customStyle="1" w:styleId="ContenidoCar">
    <w:name w:val="Contenido Car"/>
    <w:basedOn w:val="Fuentedeprrafopredeter"/>
    <w:link w:val="Contenido"/>
    <w:rsid w:val="00F84254"/>
    <w:rPr>
      <w:rFonts w:ascii="Calibri" w:eastAsiaTheme="minorEastAsia" w:hAnsi="Calibri" w:cs="Arial"/>
      <w:b/>
      <w:sz w:val="32"/>
      <w:lang w:bidi="en-US"/>
    </w:rPr>
  </w:style>
  <w:style w:type="table" w:styleId="Tablaconcuadrcula">
    <w:name w:val="Table Grid"/>
    <w:basedOn w:val="Tablanormal"/>
    <w:uiPriority w:val="59"/>
    <w:rsid w:val="00ED5F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A66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66F0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FE2D4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E2D4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E2D4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E2D4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2D43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A6C1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5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2312</Words>
  <Characters>12719</Characters>
  <Application>Microsoft Office Word</Application>
  <DocSecurity>0</DocSecurity>
  <Lines>105</Lines>
  <Paragraphs>30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Emmanuel Noriega Espinoza</dc:creator>
  <cp:lastModifiedBy>Beatriz Castrejon</cp:lastModifiedBy>
  <cp:revision>3</cp:revision>
  <dcterms:created xsi:type="dcterms:W3CDTF">2017-04-01T02:51:00Z</dcterms:created>
  <dcterms:modified xsi:type="dcterms:W3CDTF">2017-04-07T18:20:00Z</dcterms:modified>
</cp:coreProperties>
</file>