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6C" w:rsidRPr="005C532A" w:rsidRDefault="005C532A" w:rsidP="00BB591B">
      <w:pPr>
        <w:pStyle w:val="Texto"/>
        <w:spacing w:after="240" w:line="240" w:lineRule="atLeast"/>
        <w:ind w:firstLine="0"/>
        <w:jc w:val="center"/>
        <w:rPr>
          <w:rFonts w:ascii="Soberana Titular" w:hAnsi="Soberana Titular"/>
          <w:b/>
          <w:sz w:val="22"/>
          <w:szCs w:val="22"/>
          <w:u w:val="single"/>
        </w:rPr>
      </w:pPr>
      <w:r w:rsidRPr="005C532A">
        <w:rPr>
          <w:rFonts w:ascii="Soberana Titular" w:hAnsi="Soberana Titular"/>
          <w:b/>
          <w:sz w:val="22"/>
          <w:szCs w:val="22"/>
          <w:u w:val="single"/>
        </w:rPr>
        <w:t xml:space="preserve">SERIE </w:t>
      </w:r>
      <w:r w:rsidR="00F9466C" w:rsidRPr="005C532A">
        <w:rPr>
          <w:rFonts w:ascii="Soberana Titular" w:hAnsi="Soberana Titular"/>
          <w:b/>
          <w:sz w:val="22"/>
          <w:szCs w:val="22"/>
          <w:u w:val="single"/>
        </w:rPr>
        <w:t>R20 INDICADORES</w:t>
      </w:r>
    </w:p>
    <w:p w:rsidR="005C532A" w:rsidRPr="006854A1" w:rsidRDefault="005C532A" w:rsidP="005C532A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6854A1">
        <w:rPr>
          <w:rFonts w:ascii="Soberana Texto" w:hAnsi="Soberana Texto"/>
          <w:sz w:val="22"/>
          <w:szCs w:val="22"/>
        </w:rPr>
        <w:t xml:space="preserve">Esta serie se integra por un (1) reporte, cuya frecuencia de elaboración y presentación debe ser </w:t>
      </w:r>
      <w:r w:rsidRPr="006854A1">
        <w:rPr>
          <w:rFonts w:ascii="Soberana Texto" w:hAnsi="Soberana Texto"/>
          <w:b/>
          <w:sz w:val="22"/>
          <w:szCs w:val="22"/>
          <w:u w:val="single"/>
        </w:rPr>
        <w:t>mensual</w:t>
      </w:r>
      <w:r w:rsidRPr="006854A1">
        <w:rPr>
          <w:rFonts w:ascii="Soberana Texto" w:hAnsi="Soberana Texto"/>
          <w:sz w:val="22"/>
          <w:szCs w:val="22"/>
        </w:rPr>
        <w:t>.</w:t>
      </w:r>
    </w:p>
    <w:p w:rsidR="005C532A" w:rsidRPr="006854A1" w:rsidRDefault="005C532A" w:rsidP="005C532A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6854A1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4987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9932AB" w:rsidRPr="006854A1" w:rsidTr="005C532A">
        <w:trPr>
          <w:jc w:val="center"/>
        </w:trPr>
        <w:tc>
          <w:tcPr>
            <w:tcW w:w="791" w:type="pct"/>
            <w:noWrap/>
          </w:tcPr>
          <w:p w:rsidR="009932AB" w:rsidRPr="006854A1" w:rsidRDefault="009932AB" w:rsidP="005C532A">
            <w:pPr>
              <w:spacing w:after="0" w:line="240" w:lineRule="atLeast"/>
              <w:jc w:val="both"/>
              <w:rPr>
                <w:rFonts w:ascii="Soberana Texto" w:hAnsi="Soberana Texto"/>
                <w:b/>
              </w:rPr>
            </w:pPr>
            <w:r w:rsidRPr="006854A1">
              <w:rPr>
                <w:rFonts w:ascii="Soberana Texto" w:eastAsia="Times New Roman" w:hAnsi="Soberana Texto" w:cs="Arial"/>
                <w:b/>
                <w:lang w:eastAsia="es-MX"/>
              </w:rPr>
              <w:t>A</w:t>
            </w:r>
            <w:r w:rsidR="005C532A" w:rsidRPr="006854A1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6854A1">
              <w:rPr>
                <w:rFonts w:ascii="Soberana Texto" w:eastAsia="Times New Roman" w:hAnsi="Soberana Texto" w:cs="Arial"/>
                <w:b/>
                <w:lang w:eastAsia="es-MX"/>
              </w:rPr>
              <w:t>2011</w:t>
            </w:r>
          </w:p>
        </w:tc>
        <w:tc>
          <w:tcPr>
            <w:tcW w:w="4209" w:type="pct"/>
          </w:tcPr>
          <w:p w:rsidR="009932AB" w:rsidRPr="006854A1" w:rsidRDefault="009932AB" w:rsidP="005C532A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b/>
                <w:lang w:val="es-ES" w:eastAsia="es-ES"/>
              </w:rPr>
              <w:t>Coeficiente de liquidez</w:t>
            </w:r>
          </w:p>
          <w:p w:rsidR="009932AB" w:rsidRPr="006854A1" w:rsidRDefault="009932AB" w:rsidP="005C532A">
            <w:pPr>
              <w:pStyle w:val="Texto"/>
              <w:spacing w:before="120"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6854A1">
              <w:rPr>
                <w:rFonts w:ascii="Soberana Texto" w:hAnsi="Soberana Texto"/>
                <w:sz w:val="22"/>
                <w:szCs w:val="22"/>
              </w:rPr>
              <w:t>En este reporte se solicita el saldo al cierre de mes y el saldo promedio diario de los diferentes conceptos de liquidez.</w:t>
            </w:r>
          </w:p>
        </w:tc>
      </w:tr>
    </w:tbl>
    <w:p w:rsidR="005C532A" w:rsidRPr="006854A1" w:rsidRDefault="005C532A" w:rsidP="005C532A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6854A1">
        <w:rPr>
          <w:rFonts w:ascii="Soberana Texto" w:hAnsi="Soberana Texto"/>
          <w:sz w:val="22"/>
          <w:szCs w:val="22"/>
        </w:rPr>
        <w:t xml:space="preserve">Para el llenado de los reportes </w:t>
      </w:r>
      <w:r w:rsidRPr="006854A1">
        <w:rPr>
          <w:rFonts w:ascii="Soberana Texto" w:hAnsi="Soberana Texto"/>
          <w:b/>
          <w:sz w:val="22"/>
          <w:szCs w:val="22"/>
        </w:rPr>
        <w:t>A-2011</w:t>
      </w:r>
      <w:r w:rsidRPr="006854A1">
        <w:rPr>
          <w:rFonts w:ascii="Soberana Texto" w:hAnsi="Soberana Texto"/>
          <w:sz w:val="22"/>
          <w:szCs w:val="22"/>
        </w:rPr>
        <w:t xml:space="preserve"> es necesario tener en consideración los siguientes aspectos:</w:t>
      </w:r>
    </w:p>
    <w:p w:rsidR="009932AB" w:rsidRPr="006854A1" w:rsidRDefault="009932AB" w:rsidP="005C532A">
      <w:pPr>
        <w:pStyle w:val="Texto"/>
        <w:spacing w:after="120" w:line="240" w:lineRule="atLeast"/>
        <w:ind w:firstLine="0"/>
        <w:rPr>
          <w:rFonts w:ascii="Soberana Texto" w:hAnsi="Soberana Texto" w:cs="Times New Roman"/>
          <w:sz w:val="22"/>
          <w:szCs w:val="22"/>
        </w:rPr>
      </w:pPr>
      <w:r w:rsidRPr="006854A1">
        <w:rPr>
          <w:rFonts w:ascii="Soberana Texto" w:hAnsi="Soberana Texto" w:cs="Times New Roman"/>
          <w:sz w:val="22"/>
          <w:szCs w:val="22"/>
        </w:rPr>
        <w:t xml:space="preserve">La columna de saldo diario promedio mensual sólo aplica para las </w:t>
      </w:r>
      <w:r w:rsidR="00425D7C">
        <w:rPr>
          <w:rFonts w:ascii="Soberana Texto" w:hAnsi="Soberana Texto" w:cs="Times New Roman"/>
          <w:sz w:val="22"/>
          <w:szCs w:val="22"/>
        </w:rPr>
        <w:t>Sociedades Financieras Populares</w:t>
      </w:r>
      <w:r w:rsidRPr="006854A1">
        <w:rPr>
          <w:rFonts w:ascii="Soberana Texto" w:hAnsi="Soberana Texto" w:cs="Times New Roman"/>
          <w:sz w:val="22"/>
          <w:szCs w:val="22"/>
        </w:rPr>
        <w:t xml:space="preserve"> con nivel prudencial IV.</w:t>
      </w:r>
    </w:p>
    <w:p w:rsidR="005C532A" w:rsidRPr="006854A1" w:rsidRDefault="005C532A" w:rsidP="005C532A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6854A1">
        <w:rPr>
          <w:rFonts w:ascii="Soberana Texto" w:hAnsi="Soberana Texto"/>
          <w:b/>
          <w:sz w:val="22"/>
          <w:szCs w:val="22"/>
        </w:rPr>
        <w:t>FORMATO DE CAPTURA</w:t>
      </w:r>
    </w:p>
    <w:p w:rsidR="005C532A" w:rsidRPr="006854A1" w:rsidRDefault="005C532A" w:rsidP="005C532A">
      <w:pPr>
        <w:pStyle w:val="Texto"/>
        <w:spacing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6854A1">
        <w:rPr>
          <w:rFonts w:ascii="Soberana Texto" w:hAnsi="Soberana Texto"/>
          <w:sz w:val="22"/>
          <w:szCs w:val="22"/>
        </w:rPr>
        <w:t xml:space="preserve">Las </w:t>
      </w:r>
      <w:r w:rsidR="00425D7C">
        <w:rPr>
          <w:rFonts w:ascii="Soberana Texto" w:hAnsi="Soberana Texto"/>
          <w:sz w:val="22"/>
          <w:szCs w:val="22"/>
        </w:rPr>
        <w:t>Sociedades Financieras Populares</w:t>
      </w:r>
      <w:r w:rsidRPr="006854A1">
        <w:rPr>
          <w:rFonts w:ascii="Soberana Texto" w:hAnsi="Soberana Texto"/>
          <w:sz w:val="22"/>
          <w:szCs w:val="22"/>
        </w:rPr>
        <w:t xml:space="preserve"> llevarán a cabo el envío de la información relacionada con el reporte </w:t>
      </w:r>
      <w:r w:rsidRPr="006854A1">
        <w:rPr>
          <w:rFonts w:ascii="Soberana Texto" w:hAnsi="Soberana Texto"/>
          <w:b/>
          <w:sz w:val="22"/>
          <w:szCs w:val="22"/>
        </w:rPr>
        <w:t>A-2011</w:t>
      </w:r>
      <w:r w:rsidRPr="006854A1">
        <w:rPr>
          <w:rFonts w:ascii="Soberana Texto" w:hAnsi="Soberana Texto"/>
          <w:sz w:val="22"/>
          <w:szCs w:val="22"/>
        </w:rPr>
        <w:t xml:space="preserve"> descrito anteriormente mediante la utilización del siguiente formato de captura: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5"/>
      </w:tblGrid>
      <w:tr w:rsidR="000166A8" w:rsidRPr="006854A1" w:rsidTr="005C532A">
        <w:trPr>
          <w:cantSplit/>
          <w:trHeight w:val="20"/>
          <w:jc w:val="center"/>
        </w:trPr>
        <w:tc>
          <w:tcPr>
            <w:tcW w:w="8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166A8" w:rsidRPr="006854A1" w:rsidRDefault="000166A8" w:rsidP="000166A8">
            <w:pPr>
              <w:spacing w:after="0" w:line="240" w:lineRule="atLeast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  <w:t>INFORMACIÓN SOLICITADA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IDENTIFICADOR DEL REPORTE</w:t>
            </w: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PERIODO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CLAVE DE LA FEDERACIÓN</w:t>
            </w:r>
          </w:p>
        </w:tc>
      </w:tr>
      <w:tr w:rsidR="00CD215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2158" w:rsidRPr="006854A1" w:rsidRDefault="00CD215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2158" w:rsidRPr="006854A1" w:rsidRDefault="00CD215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>
              <w:rPr>
                <w:rFonts w:ascii="Soberana Texto" w:hAnsi="Soberana Texto" w:cs="Arial"/>
              </w:rPr>
              <w:t>CLAVE DE</w:t>
            </w:r>
            <w:r w:rsidR="0059433B">
              <w:rPr>
                <w:rFonts w:ascii="Soberana Texto" w:hAnsi="Soberana Texto" w:cs="Arial"/>
              </w:rPr>
              <w:t>LA FEDERACIÓN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6A8" w:rsidRPr="006854A1" w:rsidRDefault="00CD2158" w:rsidP="0059433B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 xml:space="preserve">CLAVE DE LA </w:t>
            </w:r>
            <w:r w:rsidR="0059433B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SOCIEDAD FINANCIERA POPULAR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59433B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 xml:space="preserve">CLAVE DE NIVEL DE LA </w:t>
            </w:r>
            <w:r w:rsidR="0059433B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SOCIEDAD FINANCIERA POPULAR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VARIABLES DEL COEFICIENTE DE LIQUIDEZ</w:t>
            </w: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CONCEPTO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SUBREPORTE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TIPO DE SALDO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DATO</w:t>
            </w:r>
          </w:p>
        </w:tc>
      </w:tr>
      <w:tr w:rsidR="000166A8" w:rsidRPr="006854A1" w:rsidTr="005C532A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6A8" w:rsidRPr="006854A1" w:rsidRDefault="000166A8" w:rsidP="000166A8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6854A1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COEFICIENTE DE LIQUIDEZ</w:t>
            </w:r>
          </w:p>
        </w:tc>
      </w:tr>
    </w:tbl>
    <w:p w:rsidR="001E7026" w:rsidRPr="006854A1" w:rsidRDefault="001E7026" w:rsidP="005C532A">
      <w:pPr>
        <w:pStyle w:val="texto0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6854A1">
        <w:rPr>
          <w:rFonts w:ascii="Soberana Texto" w:hAnsi="Soberana Texto"/>
          <w:sz w:val="22"/>
          <w:szCs w:val="22"/>
        </w:rPr>
        <w:t xml:space="preserve">Las </w:t>
      </w:r>
      <w:r w:rsidR="00425D7C">
        <w:rPr>
          <w:rFonts w:ascii="Soberana Texto" w:hAnsi="Soberana Texto"/>
          <w:sz w:val="22"/>
          <w:szCs w:val="22"/>
        </w:rPr>
        <w:t>Sociedades Financieras Populares</w:t>
      </w:r>
      <w:r w:rsidRPr="006854A1">
        <w:rPr>
          <w:rFonts w:ascii="Soberana Texto" w:hAnsi="Soberana Texto"/>
          <w:sz w:val="22"/>
          <w:szCs w:val="22"/>
        </w:rPr>
        <w:t xml:space="preserve"> reportarán la información que se indica en </w:t>
      </w:r>
      <w:r w:rsidR="005C532A" w:rsidRPr="006854A1">
        <w:rPr>
          <w:rFonts w:ascii="Soberana Texto" w:hAnsi="Soberana Texto"/>
          <w:sz w:val="22"/>
          <w:szCs w:val="22"/>
        </w:rPr>
        <w:t>la</w:t>
      </w:r>
      <w:r w:rsidRPr="006854A1">
        <w:rPr>
          <w:rFonts w:ascii="Soberana Texto" w:hAnsi="Soberana Texto"/>
          <w:sz w:val="22"/>
          <w:szCs w:val="22"/>
        </w:rPr>
        <w:t xml:space="preserve"> presente </w:t>
      </w:r>
      <w:r w:rsidR="005C532A" w:rsidRPr="006854A1">
        <w:rPr>
          <w:rFonts w:ascii="Soberana Texto" w:hAnsi="Soberana Texto"/>
          <w:sz w:val="22"/>
          <w:szCs w:val="22"/>
        </w:rPr>
        <w:t>serie</w:t>
      </w:r>
      <w:r w:rsidRPr="006854A1">
        <w:rPr>
          <w:rFonts w:ascii="Soberana Texto" w:hAnsi="Soberana Texto"/>
          <w:sz w:val="22"/>
          <w:szCs w:val="22"/>
        </w:rPr>
        <w:t xml:space="preserve">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5C532A" w:rsidRPr="006854A1" w:rsidRDefault="005C532A" w:rsidP="005C532A">
      <w:pPr>
        <w:pStyle w:val="Texto"/>
        <w:spacing w:after="0" w:line="240" w:lineRule="atLeast"/>
        <w:ind w:firstLine="0"/>
        <w:rPr>
          <w:rFonts w:ascii="Soberana Texto" w:hAnsi="Soberana Texto"/>
          <w:sz w:val="22"/>
          <w:szCs w:val="22"/>
        </w:rPr>
        <w:sectPr w:rsidR="005C532A" w:rsidRPr="006854A1" w:rsidSect="00EA2342">
          <w:pgSz w:w="12242" w:h="15842" w:code="1"/>
          <w:pgMar w:top="1134" w:right="1701" w:bottom="1134" w:left="1701" w:header="708" w:footer="708" w:gutter="0"/>
          <w:cols w:space="708"/>
          <w:docGrid w:linePitch="360"/>
        </w:sectPr>
      </w:pPr>
    </w:p>
    <w:p w:rsidR="006854A1" w:rsidRPr="00CD2158" w:rsidRDefault="00425D7C" w:rsidP="006854A1">
      <w:pPr>
        <w:pStyle w:val="Texto"/>
        <w:spacing w:after="240" w:line="240" w:lineRule="atLeast"/>
        <w:ind w:firstLine="0"/>
        <w:jc w:val="right"/>
        <w:rPr>
          <w:rFonts w:ascii="Soberana Texto" w:hAnsi="Soberana Texto"/>
          <w:b/>
          <w:sz w:val="22"/>
          <w:szCs w:val="22"/>
        </w:rPr>
      </w:pPr>
      <w:r>
        <w:rPr>
          <w:rFonts w:ascii="Soberana Texto" w:hAnsi="Soberana Texto"/>
          <w:b/>
          <w:sz w:val="22"/>
          <w:szCs w:val="22"/>
        </w:rPr>
        <w:lastRenderedPageBreak/>
        <w:t>Sociedades Financieras Populares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4310"/>
        <w:gridCol w:w="4284"/>
        <w:gridCol w:w="4308"/>
      </w:tblGrid>
      <w:tr w:rsidR="00096051" w:rsidRPr="00CD2158" w:rsidTr="00891646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CD2158" w:rsidRDefault="00096051" w:rsidP="006854A1">
            <w:pPr>
              <w:pStyle w:val="texto0"/>
              <w:spacing w:after="0" w:line="240" w:lineRule="atLeast"/>
              <w:ind w:firstLine="0"/>
              <w:jc w:val="right"/>
              <w:rPr>
                <w:rFonts w:ascii="Soeberana texto" w:hAnsi="Soeberana texto"/>
                <w:sz w:val="16"/>
                <w:szCs w:val="16"/>
              </w:rPr>
            </w:pPr>
            <w:r w:rsidRPr="00CD2158">
              <w:rPr>
                <w:rFonts w:ascii="Soeberana texto" w:hAnsi="Soeberana texto"/>
                <w:b/>
                <w:sz w:val="16"/>
                <w:szCs w:val="16"/>
              </w:rPr>
              <w:t>Serie R20 Indicadores</w:t>
            </w:r>
          </w:p>
        </w:tc>
      </w:tr>
      <w:tr w:rsidR="00096051" w:rsidRPr="00CD2158" w:rsidTr="002C0EAA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CD2158" w:rsidRDefault="00096051" w:rsidP="006854A1">
            <w:pPr>
              <w:pStyle w:val="texto0"/>
              <w:spacing w:after="0" w:line="240" w:lineRule="atLeast"/>
              <w:ind w:firstLine="0"/>
              <w:jc w:val="right"/>
              <w:rPr>
                <w:rFonts w:ascii="Soeberana texto" w:hAnsi="Soeberana texto"/>
                <w:sz w:val="16"/>
                <w:szCs w:val="16"/>
              </w:rPr>
            </w:pPr>
            <w:r w:rsidRPr="00CD2158">
              <w:rPr>
                <w:rFonts w:ascii="Soeberana texto" w:hAnsi="Soeberana texto"/>
                <w:b/>
                <w:sz w:val="16"/>
                <w:szCs w:val="16"/>
              </w:rPr>
              <w:t>Reporte A-2011 Coeficiente de liquidez</w:t>
            </w:r>
          </w:p>
        </w:tc>
      </w:tr>
      <w:tr w:rsidR="00936222" w:rsidRPr="00CD2158" w:rsidTr="00936222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22" w:rsidRPr="00CD2158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096051" w:rsidRPr="00096051" w:rsidTr="00784EC8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  <w:lang w:val="es-MX"/>
              </w:rPr>
            </w:pPr>
            <w:r w:rsidRPr="00CD2158">
              <w:rPr>
                <w:rFonts w:ascii="Soeberana texto" w:hAnsi="Soeberana texto"/>
                <w:b/>
                <w:sz w:val="16"/>
                <w:szCs w:val="16"/>
              </w:rPr>
              <w:t>Incluye cifras en moneda nacional y UDIS valorizadas en pesos</w:t>
            </w:r>
          </w:p>
        </w:tc>
      </w:tr>
      <w:tr w:rsidR="00096051" w:rsidRPr="00096051" w:rsidTr="00EF5F38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b/>
                <w:color w:val="000000"/>
                <w:sz w:val="16"/>
                <w:szCs w:val="16"/>
              </w:rPr>
              <w:t>Cifras en pesos</w:t>
            </w:r>
          </w:p>
        </w:tc>
      </w:tr>
      <w:tr w:rsidR="00936222" w:rsidRPr="00096051" w:rsidTr="00936222">
        <w:trPr>
          <w:cantSplit/>
        </w:trPr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right w:val="nil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nil"/>
              <w:left w:val="nil"/>
              <w:right w:val="nil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right w:val="nil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936222" w:rsidRPr="00096051" w:rsidTr="00936222">
        <w:trPr>
          <w:cantSplit/>
        </w:trPr>
        <w:tc>
          <w:tcPr>
            <w:tcW w:w="5198" w:type="dxa"/>
            <w:gridSpan w:val="5"/>
            <w:tcBorders>
              <w:bottom w:val="single" w:sz="4" w:space="0" w:color="auto"/>
            </w:tcBorders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center"/>
              <w:rPr>
                <w:rFonts w:ascii="Soeberana texto" w:hAnsi="Soeberana texto"/>
                <w:b/>
                <w:sz w:val="16"/>
                <w:szCs w:val="16"/>
              </w:rPr>
            </w:pPr>
            <w:r w:rsidRPr="00096051">
              <w:rPr>
                <w:rFonts w:ascii="Soeberana texto" w:hAnsi="Soeberana texto"/>
                <w:b/>
                <w:sz w:val="16"/>
                <w:szCs w:val="16"/>
              </w:rPr>
              <w:t>Concepto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center"/>
              <w:rPr>
                <w:rFonts w:ascii="Soeberana texto" w:hAnsi="Soeberana texto"/>
                <w:b/>
                <w:sz w:val="16"/>
                <w:szCs w:val="16"/>
              </w:rPr>
            </w:pPr>
            <w:r w:rsidRPr="00096051">
              <w:rPr>
                <w:rFonts w:ascii="Soeberana texto" w:hAnsi="Soeberana texto"/>
                <w:b/>
                <w:sz w:val="16"/>
                <w:szCs w:val="16"/>
              </w:rPr>
              <w:t>Saldo al cierre del mes</w:t>
            </w:r>
          </w:p>
        </w:tc>
        <w:tc>
          <w:tcPr>
            <w:tcW w:w="4308" w:type="dxa"/>
            <w:tcBorders>
              <w:bottom w:val="single" w:sz="4" w:space="0" w:color="auto"/>
            </w:tcBorders>
            <w:vAlign w:val="center"/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center"/>
              <w:rPr>
                <w:rFonts w:ascii="Soeberana texto" w:hAnsi="Soeberana texto"/>
                <w:b/>
                <w:sz w:val="16"/>
                <w:szCs w:val="16"/>
              </w:rPr>
            </w:pPr>
            <w:r w:rsidRPr="00096051">
              <w:rPr>
                <w:rFonts w:ascii="Soeberana texto" w:hAnsi="Soeberana texto"/>
                <w:b/>
                <w:sz w:val="16"/>
                <w:szCs w:val="16"/>
              </w:rPr>
              <w:t>Saldo diario promedio mensual del balance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936222" w:rsidRPr="00096051" w:rsidTr="00096051">
        <w:trPr>
          <w:cantSplit/>
        </w:trPr>
        <w:tc>
          <w:tcPr>
            <w:tcW w:w="5198" w:type="dxa"/>
            <w:gridSpan w:val="5"/>
            <w:tcBorders>
              <w:bottom w:val="nil"/>
            </w:tcBorders>
          </w:tcPr>
          <w:p w:rsidR="00936222" w:rsidRPr="00096051" w:rsidRDefault="00936222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b/>
                <w:sz w:val="16"/>
                <w:szCs w:val="16"/>
              </w:rPr>
            </w:pPr>
            <w:r w:rsidRPr="00096051">
              <w:rPr>
                <w:rFonts w:ascii="Soeberana texto" w:hAnsi="Soeberana texto"/>
                <w:b/>
                <w:sz w:val="16"/>
                <w:szCs w:val="16"/>
              </w:rPr>
              <w:t>Coeficiente de liquidez (B/A)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4284" w:type="dxa"/>
            <w:tcBorders>
              <w:bottom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936222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9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6222" w:rsidRPr="00096051" w:rsidRDefault="00936222" w:rsidP="00290A36">
            <w:pPr>
              <w:pStyle w:val="texto0"/>
              <w:numPr>
                <w:ilvl w:val="0"/>
                <w:numId w:val="43"/>
              </w:numPr>
              <w:spacing w:after="0" w:line="240" w:lineRule="atLeast"/>
              <w:ind w:left="284" w:hanging="284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Total pasivos de corto plazo (1+2)</w:t>
            </w: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936222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75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936222" w:rsidRPr="00096051" w:rsidRDefault="00936222" w:rsidP="00290A36">
            <w:pPr>
              <w:pStyle w:val="texto0"/>
              <w:numPr>
                <w:ilvl w:val="0"/>
                <w:numId w:val="44"/>
              </w:numPr>
              <w:spacing w:after="0" w:line="240" w:lineRule="atLeast"/>
              <w:ind w:left="284" w:hanging="284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Depósitos de corto plazo y títulos emitidos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936222" w:rsidRPr="00096051" w:rsidRDefault="00936222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096051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29226B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De exigibilidad inmediata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096051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29226B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Depósitos a plazo (menor o igual a 30 días)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096051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29226B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Títulos de crédito emitidos (plazo menor o igual a 30 días)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3/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75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29226B">
            <w:pPr>
              <w:pStyle w:val="texto0"/>
              <w:numPr>
                <w:ilvl w:val="0"/>
                <w:numId w:val="44"/>
              </w:numPr>
              <w:spacing w:after="0" w:line="240" w:lineRule="atLeast"/>
              <w:ind w:left="284" w:hanging="284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Préstamos bancarios y de otros organismos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De corto plazo (menor o igual a 30 días)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976" w:type="dxa"/>
            <w:gridSpan w:val="4"/>
            <w:tcBorders>
              <w:top w:val="nil"/>
              <w:left w:val="nil"/>
              <w:bottom w:val="nil"/>
            </w:tcBorders>
          </w:tcPr>
          <w:p w:rsidR="00290A36" w:rsidRPr="00096051" w:rsidRDefault="00290A36" w:rsidP="0029226B">
            <w:pPr>
              <w:pStyle w:val="texto0"/>
              <w:numPr>
                <w:ilvl w:val="0"/>
                <w:numId w:val="43"/>
              </w:numPr>
              <w:spacing w:after="0" w:line="240" w:lineRule="atLeast"/>
              <w:ind w:left="284" w:hanging="284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Total activo líquido de corto plazo (3+4)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75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59433B" w:rsidP="000767E2">
            <w:pPr>
              <w:pStyle w:val="texto0"/>
              <w:numPr>
                <w:ilvl w:val="0"/>
                <w:numId w:val="44"/>
              </w:numPr>
              <w:spacing w:after="0" w:line="240" w:lineRule="atLeast"/>
              <w:ind w:left="284" w:hanging="284"/>
              <w:jc w:val="left"/>
              <w:rPr>
                <w:rFonts w:ascii="Soeberana texto" w:hAnsi="Soeberana texto"/>
                <w:sz w:val="16"/>
                <w:szCs w:val="16"/>
              </w:rPr>
            </w:pPr>
            <w:r>
              <w:rPr>
                <w:rFonts w:ascii="Soeberana texto" w:hAnsi="Soeberana texto"/>
                <w:sz w:val="16"/>
                <w:szCs w:val="16"/>
              </w:rPr>
              <w:t>Caja</w:t>
            </w:r>
            <w:r w:rsidR="004C54F8">
              <w:rPr>
                <w:rFonts w:ascii="Soeberana texto" w:hAnsi="Soeberana texto"/>
                <w:sz w:val="16"/>
                <w:szCs w:val="16"/>
              </w:rPr>
              <w:t xml:space="preserve"> y</w:t>
            </w:r>
            <w:r>
              <w:rPr>
                <w:rFonts w:ascii="Soeberana texto" w:hAnsi="Soeberana texto"/>
                <w:sz w:val="16"/>
                <w:szCs w:val="16"/>
              </w:rPr>
              <w:t xml:space="preserve"> </w:t>
            </w:r>
            <w:r w:rsidR="00290A36" w:rsidRPr="00096051">
              <w:rPr>
                <w:rFonts w:ascii="Soeberana texto" w:hAnsi="Soeberana texto"/>
                <w:sz w:val="16"/>
                <w:szCs w:val="16"/>
              </w:rPr>
              <w:t>Cuentas de cheques</w:t>
            </w:r>
            <w:r w:rsidR="004C54F8" w:rsidRPr="005F682A">
              <w:rPr>
                <w:rFonts w:ascii="Soeberana texto" w:hAnsi="Soeberana texto"/>
                <w:sz w:val="16"/>
                <w:szCs w:val="16"/>
                <w:vertAlign w:val="superscript"/>
              </w:rPr>
              <w:t>4</w:t>
            </w:r>
            <w:r w:rsidR="004C54F8">
              <w:rPr>
                <w:rFonts w:ascii="Soeberana texto" w:hAnsi="Soeberana texto"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75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34029E">
            <w:pPr>
              <w:pStyle w:val="texto0"/>
              <w:numPr>
                <w:ilvl w:val="0"/>
                <w:numId w:val="44"/>
              </w:numPr>
              <w:spacing w:after="0" w:line="240" w:lineRule="atLeast"/>
              <w:ind w:left="284" w:hanging="284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Inversiones en valores con vencimiento menor o igual a 30 días</w:t>
            </w:r>
            <w:r w:rsidR="0034029E" w:rsidRPr="000767E2">
              <w:rPr>
                <w:rFonts w:ascii="Soeberana texto" w:hAnsi="Soeberana texto"/>
                <w:sz w:val="16"/>
                <w:szCs w:val="16"/>
                <w:vertAlign w:val="superscript"/>
              </w:rPr>
              <w:t>5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34029E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Títulos para negociar</w:t>
            </w:r>
            <w:r w:rsidR="0034029E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6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34029E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Títulos disponibles para la venta</w:t>
            </w:r>
            <w:r w:rsidR="0034029E" w:rsidRPr="000767E2">
              <w:rPr>
                <w:rFonts w:ascii="Soeberana texto" w:hAnsi="Soeberana texto"/>
                <w:sz w:val="16"/>
                <w:szCs w:val="16"/>
                <w:vertAlign w:val="superscript"/>
              </w:rPr>
              <w:t>6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34029E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Títulos conservados al vencimiento</w:t>
            </w:r>
            <w:r w:rsidR="0034029E" w:rsidRPr="000767E2">
              <w:rPr>
                <w:rFonts w:ascii="Soeberana texto" w:hAnsi="Soeberana texto"/>
                <w:sz w:val="16"/>
                <w:szCs w:val="16"/>
                <w:vertAlign w:val="superscript"/>
              </w:rPr>
              <w:t>6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</w:tcBorders>
            <w:vAlign w:val="center"/>
          </w:tcPr>
          <w:p w:rsidR="00290A36" w:rsidRPr="00096051" w:rsidRDefault="00290A36" w:rsidP="0034029E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Títulos recibidos en reporto</w:t>
            </w:r>
            <w:r w:rsidR="0034029E" w:rsidRPr="000767E2">
              <w:rPr>
                <w:rFonts w:ascii="Soeberana texto" w:hAnsi="Soeberana texto"/>
                <w:sz w:val="16"/>
                <w:szCs w:val="16"/>
                <w:vertAlign w:val="superscript"/>
              </w:rPr>
              <w:t>6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096051">
        <w:trPr>
          <w:cantSplit/>
        </w:trPr>
        <w:tc>
          <w:tcPr>
            <w:tcW w:w="22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0A36" w:rsidRPr="00096051" w:rsidRDefault="00290A36" w:rsidP="0029226B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0A36" w:rsidRPr="00096051" w:rsidRDefault="00290A36" w:rsidP="0029226B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90A36" w:rsidRPr="00096051" w:rsidRDefault="00290A36" w:rsidP="0034029E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  <w:r w:rsidRPr="00096051">
              <w:rPr>
                <w:rFonts w:ascii="Soeberana texto" w:hAnsi="Soeberana texto"/>
                <w:sz w:val="16"/>
                <w:szCs w:val="16"/>
              </w:rPr>
              <w:t>Inversiones en valores con vencimiento menor o igual a 30 días sin desagregación</w:t>
            </w:r>
            <w:r w:rsidR="0034029E" w:rsidRPr="000767E2">
              <w:rPr>
                <w:rFonts w:ascii="Soeberana texto" w:hAnsi="Soeberana texto"/>
                <w:sz w:val="16"/>
                <w:szCs w:val="16"/>
                <w:vertAlign w:val="superscript"/>
              </w:rPr>
              <w:t>7</w:t>
            </w:r>
            <w:r w:rsidRPr="00096051">
              <w:rPr>
                <w:rFonts w:ascii="Soeberana texto" w:hAnsi="Soeberana texto"/>
                <w:b/>
                <w:sz w:val="16"/>
                <w:szCs w:val="16"/>
                <w:vertAlign w:val="superscript"/>
              </w:rPr>
              <w:t>/</w:t>
            </w:r>
          </w:p>
        </w:tc>
        <w:tc>
          <w:tcPr>
            <w:tcW w:w="4284" w:type="dxa"/>
            <w:tcBorders>
              <w:top w:val="nil"/>
              <w:bottom w:val="single" w:sz="4" w:space="0" w:color="auto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bottom w:val="single" w:sz="4" w:space="0" w:color="auto"/>
            </w:tcBorders>
            <w:vAlign w:val="center"/>
          </w:tcPr>
          <w:p w:rsidR="00290A36" w:rsidRPr="00096051" w:rsidRDefault="00290A36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290A36" w:rsidRPr="00096051" w:rsidTr="00936222">
        <w:trPr>
          <w:cantSplit/>
        </w:trPr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0A36" w:rsidRPr="00096051" w:rsidRDefault="00290A36" w:rsidP="006854A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</w:tr>
      <w:tr w:rsidR="00096051" w:rsidRPr="00CD2158" w:rsidTr="00CE7BF9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CD2158" w:rsidRDefault="00425D7C" w:rsidP="006854A1">
            <w:pPr>
              <w:pStyle w:val="texto0"/>
              <w:spacing w:after="0" w:line="240" w:lineRule="atLeast"/>
              <w:ind w:firstLine="0"/>
              <w:jc w:val="right"/>
              <w:rPr>
                <w:rFonts w:ascii="Soeberana texto" w:hAnsi="Soeberana texto"/>
                <w:sz w:val="16"/>
                <w:szCs w:val="16"/>
              </w:rPr>
            </w:pPr>
            <w:r>
              <w:rPr>
                <w:rFonts w:ascii="Soeberana texto" w:hAnsi="Soeberana texto"/>
                <w:b/>
                <w:sz w:val="16"/>
                <w:szCs w:val="16"/>
              </w:rPr>
              <w:t>Sociedades Financieras Populares</w:t>
            </w:r>
          </w:p>
        </w:tc>
      </w:tr>
      <w:tr w:rsidR="00096051" w:rsidRPr="00096051" w:rsidTr="00A0228E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b/>
                <w:sz w:val="16"/>
                <w:szCs w:val="16"/>
              </w:rPr>
            </w:pPr>
            <w:r w:rsidRPr="00096051">
              <w:rPr>
                <w:rFonts w:ascii="Soeberana texto" w:hAnsi="Soeberana texto"/>
                <w:b/>
                <w:sz w:val="16"/>
                <w:szCs w:val="16"/>
              </w:rPr>
              <w:t>Notas:</w:t>
            </w:r>
          </w:p>
        </w:tc>
      </w:tr>
      <w:tr w:rsidR="00096051" w:rsidRPr="00096051" w:rsidTr="00FC6262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425D7C">
            <w:pPr>
              <w:pStyle w:val="texto0"/>
              <w:spacing w:after="0" w:line="240" w:lineRule="atLeast"/>
              <w:ind w:firstLine="0"/>
              <w:rPr>
                <w:rFonts w:ascii="Soeberana texto" w:hAnsi="Soeberana texto"/>
                <w:sz w:val="15"/>
                <w:szCs w:val="15"/>
              </w:rPr>
            </w:pPr>
            <w:r w:rsidRPr="00096051">
              <w:rPr>
                <w:rFonts w:ascii="Soeberana texto" w:hAnsi="Soeberana texto"/>
                <w:b/>
                <w:sz w:val="15"/>
                <w:szCs w:val="15"/>
              </w:rPr>
              <w:t xml:space="preserve">1/ </w:t>
            </w:r>
            <w:r w:rsidRPr="00096051">
              <w:rPr>
                <w:rFonts w:ascii="Soeberana texto" w:hAnsi="Soeberana texto"/>
                <w:sz w:val="15"/>
                <w:szCs w:val="15"/>
              </w:rPr>
              <w:t xml:space="preserve">Sólo aplica para las </w:t>
            </w:r>
            <w:r w:rsidR="00425D7C">
              <w:rPr>
                <w:rFonts w:ascii="Soeberana texto" w:hAnsi="Soeberana texto"/>
                <w:sz w:val="15"/>
                <w:szCs w:val="15"/>
              </w:rPr>
              <w:t>Sociedades Financieras Populares</w:t>
            </w:r>
            <w:r w:rsidRPr="00096051">
              <w:rPr>
                <w:rFonts w:ascii="Soeberana texto" w:hAnsi="Soeberana texto"/>
                <w:sz w:val="15"/>
                <w:szCs w:val="15"/>
              </w:rPr>
              <w:t xml:space="preserve"> con nivel prudencial IV. Resulta de calcular el promedio diario de la sumatoria del costo de adquisición, los intereses devengados no cobrados y la valuación a valor razonable.</w:t>
            </w:r>
          </w:p>
        </w:tc>
      </w:tr>
      <w:tr w:rsidR="00096051" w:rsidRPr="00096051" w:rsidTr="00EA2301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ROMANOS"/>
              <w:spacing w:after="0" w:line="240" w:lineRule="atLeast"/>
              <w:ind w:left="0" w:firstLine="0"/>
              <w:rPr>
                <w:rFonts w:ascii="Soeberana texto" w:hAnsi="Soeberana texto"/>
                <w:sz w:val="15"/>
                <w:szCs w:val="15"/>
              </w:rPr>
            </w:pPr>
            <w:r w:rsidRPr="00096051">
              <w:rPr>
                <w:rFonts w:ascii="Soeberana texto" w:hAnsi="Soeberana texto"/>
                <w:b/>
                <w:sz w:val="15"/>
                <w:szCs w:val="15"/>
              </w:rPr>
              <w:t>2/</w:t>
            </w:r>
            <w:r w:rsidRPr="00096051">
              <w:rPr>
                <w:rFonts w:ascii="Soeberana texto" w:hAnsi="Soeberana texto"/>
                <w:sz w:val="15"/>
                <w:szCs w:val="15"/>
              </w:rPr>
              <w:t xml:space="preserve"> El coeficiente de liquidez se debe presentar sin el signo "%", a 4 decimales y en base 100. Por ejemplo: 20% sería 20.0000</w:t>
            </w:r>
          </w:p>
        </w:tc>
      </w:tr>
      <w:tr w:rsidR="00096051" w:rsidRPr="00096051" w:rsidTr="00D20C04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ROMANOS"/>
              <w:spacing w:after="0" w:line="240" w:lineRule="atLeast"/>
              <w:ind w:left="0" w:firstLine="0"/>
              <w:rPr>
                <w:rFonts w:ascii="Soeberana texto" w:hAnsi="Soeberana texto"/>
                <w:sz w:val="15"/>
                <w:szCs w:val="15"/>
              </w:rPr>
            </w:pPr>
            <w:r w:rsidRPr="00096051">
              <w:rPr>
                <w:rFonts w:ascii="Soeberana texto" w:hAnsi="Soeberana texto"/>
                <w:b/>
                <w:sz w:val="15"/>
                <w:szCs w:val="15"/>
              </w:rPr>
              <w:t>3/</w:t>
            </w:r>
            <w:r w:rsidRPr="00096051">
              <w:rPr>
                <w:rFonts w:ascii="Soeberana texto" w:hAnsi="Soeberana texto"/>
                <w:sz w:val="15"/>
                <w:szCs w:val="15"/>
              </w:rPr>
              <w:t xml:space="preserve"> Aplica sólo para las </w:t>
            </w:r>
            <w:r w:rsidR="00425D7C">
              <w:rPr>
                <w:rFonts w:ascii="Soeberana texto" w:hAnsi="Soeberana texto"/>
                <w:sz w:val="15"/>
                <w:szCs w:val="15"/>
              </w:rPr>
              <w:t>Sociedades Financieras Populares</w:t>
            </w:r>
            <w:r w:rsidRPr="00096051">
              <w:rPr>
                <w:rFonts w:ascii="Soeberana texto" w:hAnsi="Soeberana texto"/>
                <w:sz w:val="15"/>
                <w:szCs w:val="15"/>
              </w:rPr>
              <w:t xml:space="preserve"> con Nivel de Operaciones IV.</w:t>
            </w:r>
          </w:p>
        </w:tc>
      </w:tr>
      <w:tr w:rsidR="0034029E" w:rsidRPr="00096051" w:rsidTr="00B64DC8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34029E" w:rsidRPr="00096051" w:rsidRDefault="0034029E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029E" w:rsidRPr="00096051" w:rsidRDefault="0034029E" w:rsidP="0034029E">
            <w:pPr>
              <w:pStyle w:val="ROMANOS"/>
              <w:spacing w:after="0" w:line="240" w:lineRule="atLeast"/>
              <w:ind w:left="0" w:firstLine="0"/>
              <w:rPr>
                <w:rFonts w:ascii="Soeberana texto" w:hAnsi="Soeberana texto"/>
                <w:b/>
                <w:sz w:val="15"/>
                <w:szCs w:val="15"/>
              </w:rPr>
            </w:pPr>
            <w:r>
              <w:rPr>
                <w:rFonts w:ascii="Soeberana texto" w:hAnsi="Soeberana texto"/>
                <w:b/>
                <w:sz w:val="15"/>
                <w:szCs w:val="15"/>
              </w:rPr>
              <w:t xml:space="preserve">4/ </w:t>
            </w:r>
            <w:r w:rsidRPr="000767E2">
              <w:rPr>
                <w:rFonts w:ascii="Soeberana texto" w:hAnsi="Soeberana texto"/>
                <w:sz w:val="15"/>
                <w:szCs w:val="15"/>
              </w:rPr>
              <w:t>No se deberán considerar los montos que se encuentren restringidos o dados en garantía</w:t>
            </w:r>
            <w:r>
              <w:rPr>
                <w:rFonts w:ascii="Soeberana texto" w:hAnsi="Soeberana texto"/>
                <w:b/>
                <w:sz w:val="15"/>
                <w:szCs w:val="15"/>
              </w:rPr>
              <w:t xml:space="preserve"> </w:t>
            </w:r>
          </w:p>
        </w:tc>
      </w:tr>
      <w:tr w:rsidR="00096051" w:rsidRPr="00096051" w:rsidTr="00B64DC8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34029E" w:rsidP="00096051">
            <w:pPr>
              <w:pStyle w:val="ROMANOS"/>
              <w:spacing w:after="0" w:line="240" w:lineRule="atLeast"/>
              <w:ind w:left="0" w:firstLine="0"/>
              <w:rPr>
                <w:rFonts w:ascii="Soeberana texto" w:hAnsi="Soeberana texto"/>
                <w:sz w:val="15"/>
                <w:szCs w:val="15"/>
              </w:rPr>
            </w:pPr>
            <w:r>
              <w:rPr>
                <w:rFonts w:ascii="Soeberana texto" w:hAnsi="Soeberana texto"/>
                <w:b/>
                <w:sz w:val="15"/>
                <w:szCs w:val="15"/>
              </w:rPr>
              <w:t>5</w:t>
            </w:r>
            <w:r w:rsidR="00096051" w:rsidRPr="00096051">
              <w:rPr>
                <w:rFonts w:ascii="Soeberana texto" w:hAnsi="Soeberana texto"/>
                <w:b/>
                <w:sz w:val="15"/>
                <w:szCs w:val="15"/>
              </w:rPr>
              <w:t>/</w:t>
            </w:r>
            <w:r w:rsidR="00096051" w:rsidRPr="00096051">
              <w:rPr>
                <w:rFonts w:ascii="Soeberana texto" w:hAnsi="Soeberana texto"/>
                <w:sz w:val="15"/>
                <w:szCs w:val="15"/>
              </w:rPr>
              <w:t xml:space="preserve"> Títulos bancarios y valores gubernamentales.</w:t>
            </w:r>
          </w:p>
        </w:tc>
      </w:tr>
      <w:tr w:rsidR="00096051" w:rsidRPr="00096051" w:rsidTr="008C7B10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34029E" w:rsidP="00096051">
            <w:pPr>
              <w:pStyle w:val="ROMANOS"/>
              <w:spacing w:after="0" w:line="240" w:lineRule="atLeast"/>
              <w:ind w:left="0" w:firstLine="0"/>
              <w:rPr>
                <w:rFonts w:ascii="Soeberana texto" w:hAnsi="Soeberana texto"/>
                <w:sz w:val="15"/>
                <w:szCs w:val="15"/>
              </w:rPr>
            </w:pPr>
            <w:r>
              <w:rPr>
                <w:rFonts w:ascii="Soeberana texto" w:hAnsi="Soeberana texto"/>
                <w:b/>
                <w:sz w:val="15"/>
                <w:szCs w:val="15"/>
              </w:rPr>
              <w:t>6</w:t>
            </w:r>
            <w:r w:rsidR="00096051" w:rsidRPr="00096051">
              <w:rPr>
                <w:rFonts w:ascii="Soeberana texto" w:hAnsi="Soeberana texto"/>
                <w:b/>
                <w:sz w:val="15"/>
                <w:szCs w:val="15"/>
              </w:rPr>
              <w:t>/</w:t>
            </w:r>
            <w:r w:rsidR="00096051" w:rsidRPr="00096051">
              <w:rPr>
                <w:rFonts w:ascii="Soeberana texto" w:hAnsi="Soeberana texto"/>
                <w:sz w:val="15"/>
                <w:szCs w:val="15"/>
              </w:rPr>
              <w:t xml:space="preserve"> El nivel de desagregación, no aplica para el Nivel de Operaciones I.</w:t>
            </w:r>
            <w:bookmarkStart w:id="0" w:name="_GoBack"/>
            <w:bookmarkEnd w:id="0"/>
          </w:p>
        </w:tc>
      </w:tr>
      <w:tr w:rsidR="00096051" w:rsidRPr="00096051" w:rsidTr="00066F9A">
        <w:trPr>
          <w:cantSplit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6"/>
                <w:szCs w:val="16"/>
              </w:rPr>
            </w:pPr>
          </w:p>
        </w:tc>
        <w:tc>
          <w:tcPr>
            <w:tcW w:w="135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34029E" w:rsidP="00096051">
            <w:pPr>
              <w:pStyle w:val="texto0"/>
              <w:spacing w:after="0" w:line="240" w:lineRule="atLeast"/>
              <w:ind w:firstLine="0"/>
              <w:rPr>
                <w:rFonts w:ascii="Soeberana texto" w:hAnsi="Soeberana texto"/>
                <w:sz w:val="15"/>
                <w:szCs w:val="15"/>
              </w:rPr>
            </w:pPr>
            <w:r>
              <w:rPr>
                <w:rFonts w:ascii="Soeberana texto" w:hAnsi="Soeberana texto"/>
                <w:b/>
                <w:sz w:val="15"/>
                <w:szCs w:val="15"/>
              </w:rPr>
              <w:t>7</w:t>
            </w:r>
            <w:r w:rsidR="00096051" w:rsidRPr="00096051">
              <w:rPr>
                <w:rFonts w:ascii="Soeberana texto" w:hAnsi="Soeberana texto"/>
                <w:b/>
                <w:sz w:val="15"/>
                <w:szCs w:val="15"/>
              </w:rPr>
              <w:t>/</w:t>
            </w:r>
            <w:r w:rsidR="00096051" w:rsidRPr="00096051">
              <w:rPr>
                <w:rFonts w:ascii="Soeberana texto" w:hAnsi="Soeberana texto"/>
                <w:sz w:val="15"/>
                <w:szCs w:val="15"/>
              </w:rPr>
              <w:t xml:space="preserve"> Sólo aplica para Nivel de Operaciones I</w:t>
            </w:r>
          </w:p>
        </w:tc>
      </w:tr>
      <w:tr w:rsidR="00096051" w:rsidRPr="00096051" w:rsidTr="00215FCB">
        <w:trPr>
          <w:cantSplit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96051" w:rsidRPr="00096051" w:rsidRDefault="00096051" w:rsidP="00096051">
            <w:pPr>
              <w:pStyle w:val="texto0"/>
              <w:spacing w:after="0" w:line="240" w:lineRule="atLeast"/>
              <w:ind w:firstLine="0"/>
              <w:jc w:val="left"/>
              <w:rPr>
                <w:rFonts w:ascii="Soeberana texto" w:hAnsi="Soeberana texto"/>
                <w:sz w:val="15"/>
                <w:szCs w:val="15"/>
              </w:rPr>
            </w:pPr>
            <w:r w:rsidRPr="00096051">
              <w:rPr>
                <w:rFonts w:ascii="Soeberana texto" w:hAnsi="Soeberana texto"/>
                <w:sz w:val="15"/>
                <w:szCs w:val="15"/>
              </w:rPr>
              <w:t>Las celdas sombreadas representan celdas invalidadas para las cuales no aplica la información solicitada.</w:t>
            </w:r>
          </w:p>
        </w:tc>
      </w:tr>
    </w:tbl>
    <w:p w:rsidR="006854A1" w:rsidRPr="006854A1" w:rsidRDefault="006854A1" w:rsidP="00096051">
      <w:pPr>
        <w:pStyle w:val="texto0"/>
        <w:spacing w:after="0" w:line="240" w:lineRule="atLeast"/>
        <w:ind w:firstLine="0"/>
        <w:rPr>
          <w:rFonts w:ascii="Soberana Texto" w:hAnsi="Soberana Texto"/>
          <w:sz w:val="22"/>
          <w:szCs w:val="22"/>
        </w:rPr>
      </w:pPr>
    </w:p>
    <w:sectPr w:rsidR="006854A1" w:rsidRPr="006854A1" w:rsidSect="00096051">
      <w:pgSz w:w="15842" w:h="12242" w:orient="landscape" w:code="1"/>
      <w:pgMar w:top="1701" w:right="1134" w:bottom="1701" w:left="1134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AED" w:rsidRDefault="00885AED" w:rsidP="00F9466C">
      <w:pPr>
        <w:spacing w:after="0" w:line="240" w:lineRule="auto"/>
      </w:pPr>
      <w:r>
        <w:separator/>
      </w:r>
    </w:p>
  </w:endnote>
  <w:endnote w:type="continuationSeparator" w:id="0">
    <w:p w:rsidR="00885AED" w:rsidRDefault="00885AED" w:rsidP="00F94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Soeberana tex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AED" w:rsidRDefault="00885AED" w:rsidP="00F9466C">
      <w:pPr>
        <w:spacing w:after="0" w:line="240" w:lineRule="auto"/>
      </w:pPr>
      <w:r>
        <w:separator/>
      </w:r>
    </w:p>
  </w:footnote>
  <w:footnote w:type="continuationSeparator" w:id="0">
    <w:p w:rsidR="00885AED" w:rsidRDefault="00885AED" w:rsidP="00F94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3A18"/>
    <w:multiLevelType w:val="hybridMultilevel"/>
    <w:tmpl w:val="EE10A25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">
    <w:nsid w:val="04EC7DBC"/>
    <w:multiLevelType w:val="hybridMultilevel"/>
    <w:tmpl w:val="F47E17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F01D0"/>
    <w:multiLevelType w:val="hybridMultilevel"/>
    <w:tmpl w:val="817C1B3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530FF"/>
    <w:multiLevelType w:val="hybridMultilevel"/>
    <w:tmpl w:val="DC02D5C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0C36220D"/>
    <w:multiLevelType w:val="hybridMultilevel"/>
    <w:tmpl w:val="6A6AD4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117001"/>
    <w:multiLevelType w:val="hybridMultilevel"/>
    <w:tmpl w:val="2A30E03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FF29BC"/>
    <w:multiLevelType w:val="hybridMultilevel"/>
    <w:tmpl w:val="7826CB1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>
    <w:nsid w:val="13887DFC"/>
    <w:multiLevelType w:val="hybridMultilevel"/>
    <w:tmpl w:val="E9AE555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126216"/>
    <w:multiLevelType w:val="hybridMultilevel"/>
    <w:tmpl w:val="A754E6B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430EE"/>
    <w:multiLevelType w:val="hybridMultilevel"/>
    <w:tmpl w:val="A18E39FE"/>
    <w:lvl w:ilvl="0" w:tplc="B8AC30E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196E547B"/>
    <w:multiLevelType w:val="hybridMultilevel"/>
    <w:tmpl w:val="6C72B5E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197304E6"/>
    <w:multiLevelType w:val="hybridMultilevel"/>
    <w:tmpl w:val="1EEA72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1A056091"/>
    <w:multiLevelType w:val="hybridMultilevel"/>
    <w:tmpl w:val="EFB2115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>
    <w:nsid w:val="1E6A0C26"/>
    <w:multiLevelType w:val="hybridMultilevel"/>
    <w:tmpl w:val="80DAA3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22AA01C5"/>
    <w:multiLevelType w:val="hybridMultilevel"/>
    <w:tmpl w:val="CAC8F0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F29EA"/>
    <w:multiLevelType w:val="hybridMultilevel"/>
    <w:tmpl w:val="3D766A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6">
    <w:nsid w:val="236D4BF9"/>
    <w:multiLevelType w:val="hybridMultilevel"/>
    <w:tmpl w:val="CC4C210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E57ACC"/>
    <w:multiLevelType w:val="hybridMultilevel"/>
    <w:tmpl w:val="7AA44FB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2D4F6873"/>
    <w:multiLevelType w:val="hybridMultilevel"/>
    <w:tmpl w:val="B3C07CB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9">
    <w:nsid w:val="37C0781E"/>
    <w:multiLevelType w:val="hybridMultilevel"/>
    <w:tmpl w:val="E400694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D94F2C"/>
    <w:multiLevelType w:val="hybridMultilevel"/>
    <w:tmpl w:val="32AEAD54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C446A1"/>
    <w:multiLevelType w:val="hybridMultilevel"/>
    <w:tmpl w:val="8692FCA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2">
    <w:nsid w:val="3CDA3F6C"/>
    <w:multiLevelType w:val="hybridMultilevel"/>
    <w:tmpl w:val="812267F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>
    <w:nsid w:val="4395646B"/>
    <w:multiLevelType w:val="hybridMultilevel"/>
    <w:tmpl w:val="5EB2341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43A85866"/>
    <w:multiLevelType w:val="hybridMultilevel"/>
    <w:tmpl w:val="06F656B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5">
    <w:nsid w:val="455C25C4"/>
    <w:multiLevelType w:val="hybridMultilevel"/>
    <w:tmpl w:val="F4D4FB3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A17015"/>
    <w:multiLevelType w:val="hybridMultilevel"/>
    <w:tmpl w:val="42B8059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7">
    <w:nsid w:val="4CE53FF7"/>
    <w:multiLevelType w:val="hybridMultilevel"/>
    <w:tmpl w:val="C8E467A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8">
    <w:nsid w:val="4F8D0F1C"/>
    <w:multiLevelType w:val="hybridMultilevel"/>
    <w:tmpl w:val="90A6AA6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1C2FF6"/>
    <w:multiLevelType w:val="hybridMultilevel"/>
    <w:tmpl w:val="523E7AF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0">
    <w:nsid w:val="53C615AB"/>
    <w:multiLevelType w:val="hybridMultilevel"/>
    <w:tmpl w:val="F732C29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93035C"/>
    <w:multiLevelType w:val="hybridMultilevel"/>
    <w:tmpl w:val="0B262D0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2">
    <w:nsid w:val="5A9375E4"/>
    <w:multiLevelType w:val="hybridMultilevel"/>
    <w:tmpl w:val="18CCCA4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5C0941"/>
    <w:multiLevelType w:val="hybridMultilevel"/>
    <w:tmpl w:val="40EE79F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45AC2"/>
    <w:multiLevelType w:val="hybridMultilevel"/>
    <w:tmpl w:val="4BF443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FA7EC1"/>
    <w:multiLevelType w:val="hybridMultilevel"/>
    <w:tmpl w:val="EB5A6A8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6">
    <w:nsid w:val="66371B91"/>
    <w:multiLevelType w:val="hybridMultilevel"/>
    <w:tmpl w:val="69A4301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>
    <w:nsid w:val="6EFE4ADF"/>
    <w:multiLevelType w:val="hybridMultilevel"/>
    <w:tmpl w:val="0C78CC8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590C4E"/>
    <w:multiLevelType w:val="hybridMultilevel"/>
    <w:tmpl w:val="A128130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9">
    <w:nsid w:val="72E91A20"/>
    <w:multiLevelType w:val="hybridMultilevel"/>
    <w:tmpl w:val="DD8258F2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362184"/>
    <w:multiLevelType w:val="hybridMultilevel"/>
    <w:tmpl w:val="17FA11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C43DF4"/>
    <w:multiLevelType w:val="hybridMultilevel"/>
    <w:tmpl w:val="F58220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2">
    <w:nsid w:val="7F5C2E53"/>
    <w:multiLevelType w:val="hybridMultilevel"/>
    <w:tmpl w:val="A99EC3C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3">
    <w:nsid w:val="7F6C1E7F"/>
    <w:multiLevelType w:val="hybridMultilevel"/>
    <w:tmpl w:val="3EF6AE4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0"/>
  </w:num>
  <w:num w:numId="3">
    <w:abstractNumId w:val="19"/>
  </w:num>
  <w:num w:numId="4">
    <w:abstractNumId w:val="7"/>
  </w:num>
  <w:num w:numId="5">
    <w:abstractNumId w:val="28"/>
  </w:num>
  <w:num w:numId="6">
    <w:abstractNumId w:val="39"/>
  </w:num>
  <w:num w:numId="7">
    <w:abstractNumId w:val="20"/>
  </w:num>
  <w:num w:numId="8">
    <w:abstractNumId w:val="2"/>
  </w:num>
  <w:num w:numId="9">
    <w:abstractNumId w:val="5"/>
  </w:num>
  <w:num w:numId="10">
    <w:abstractNumId w:val="1"/>
  </w:num>
  <w:num w:numId="11">
    <w:abstractNumId w:val="25"/>
  </w:num>
  <w:num w:numId="12">
    <w:abstractNumId w:val="16"/>
  </w:num>
  <w:num w:numId="13">
    <w:abstractNumId w:val="37"/>
  </w:num>
  <w:num w:numId="14">
    <w:abstractNumId w:val="21"/>
  </w:num>
  <w:num w:numId="15">
    <w:abstractNumId w:val="4"/>
  </w:num>
  <w:num w:numId="16">
    <w:abstractNumId w:val="32"/>
  </w:num>
  <w:num w:numId="17">
    <w:abstractNumId w:val="30"/>
  </w:num>
  <w:num w:numId="18">
    <w:abstractNumId w:val="8"/>
  </w:num>
  <w:num w:numId="19">
    <w:abstractNumId w:val="34"/>
  </w:num>
  <w:num w:numId="20">
    <w:abstractNumId w:val="9"/>
  </w:num>
  <w:num w:numId="21">
    <w:abstractNumId w:val="17"/>
  </w:num>
  <w:num w:numId="22">
    <w:abstractNumId w:val="31"/>
  </w:num>
  <w:num w:numId="23">
    <w:abstractNumId w:val="12"/>
  </w:num>
  <w:num w:numId="24">
    <w:abstractNumId w:val="15"/>
  </w:num>
  <w:num w:numId="25">
    <w:abstractNumId w:val="11"/>
  </w:num>
  <w:num w:numId="26">
    <w:abstractNumId w:val="22"/>
  </w:num>
  <w:num w:numId="27">
    <w:abstractNumId w:val="0"/>
  </w:num>
  <w:num w:numId="28">
    <w:abstractNumId w:val="23"/>
  </w:num>
  <w:num w:numId="29">
    <w:abstractNumId w:val="35"/>
  </w:num>
  <w:num w:numId="30">
    <w:abstractNumId w:val="3"/>
  </w:num>
  <w:num w:numId="31">
    <w:abstractNumId w:val="29"/>
  </w:num>
  <w:num w:numId="32">
    <w:abstractNumId w:val="27"/>
  </w:num>
  <w:num w:numId="33">
    <w:abstractNumId w:val="41"/>
  </w:num>
  <w:num w:numId="34">
    <w:abstractNumId w:val="13"/>
  </w:num>
  <w:num w:numId="35">
    <w:abstractNumId w:val="6"/>
  </w:num>
  <w:num w:numId="36">
    <w:abstractNumId w:val="10"/>
  </w:num>
  <w:num w:numId="37">
    <w:abstractNumId w:val="42"/>
  </w:num>
  <w:num w:numId="38">
    <w:abstractNumId w:val="38"/>
  </w:num>
  <w:num w:numId="39">
    <w:abstractNumId w:val="18"/>
  </w:num>
  <w:num w:numId="40">
    <w:abstractNumId w:val="36"/>
  </w:num>
  <w:num w:numId="41">
    <w:abstractNumId w:val="26"/>
  </w:num>
  <w:num w:numId="42">
    <w:abstractNumId w:val="24"/>
  </w:num>
  <w:num w:numId="43">
    <w:abstractNumId w:val="3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6C"/>
    <w:rsid w:val="000166A8"/>
    <w:rsid w:val="00045595"/>
    <w:rsid w:val="000767E2"/>
    <w:rsid w:val="00096051"/>
    <w:rsid w:val="000B0BFB"/>
    <w:rsid w:val="0010036B"/>
    <w:rsid w:val="001B39DD"/>
    <w:rsid w:val="001C0044"/>
    <w:rsid w:val="001E7026"/>
    <w:rsid w:val="00221AD4"/>
    <w:rsid w:val="00290A36"/>
    <w:rsid w:val="002A3668"/>
    <w:rsid w:val="0034029E"/>
    <w:rsid w:val="003665C9"/>
    <w:rsid w:val="00425D7C"/>
    <w:rsid w:val="004C54F8"/>
    <w:rsid w:val="004D128B"/>
    <w:rsid w:val="00512679"/>
    <w:rsid w:val="005138A0"/>
    <w:rsid w:val="0051527F"/>
    <w:rsid w:val="00553B56"/>
    <w:rsid w:val="0059433B"/>
    <w:rsid w:val="005C532A"/>
    <w:rsid w:val="006052AE"/>
    <w:rsid w:val="006854A1"/>
    <w:rsid w:val="006B2051"/>
    <w:rsid w:val="006C77FB"/>
    <w:rsid w:val="007110B5"/>
    <w:rsid w:val="00783462"/>
    <w:rsid w:val="007C2EBB"/>
    <w:rsid w:val="00845C13"/>
    <w:rsid w:val="00885AED"/>
    <w:rsid w:val="008F6AB7"/>
    <w:rsid w:val="00936222"/>
    <w:rsid w:val="00944C5E"/>
    <w:rsid w:val="009932AB"/>
    <w:rsid w:val="009B4C4F"/>
    <w:rsid w:val="00B62507"/>
    <w:rsid w:val="00B71492"/>
    <w:rsid w:val="00BB591B"/>
    <w:rsid w:val="00BD5534"/>
    <w:rsid w:val="00C776B0"/>
    <w:rsid w:val="00CD2158"/>
    <w:rsid w:val="00D82C4C"/>
    <w:rsid w:val="00DA35D2"/>
    <w:rsid w:val="00E86CAC"/>
    <w:rsid w:val="00E978D9"/>
    <w:rsid w:val="00EA2342"/>
    <w:rsid w:val="00EE5178"/>
    <w:rsid w:val="00F31C56"/>
    <w:rsid w:val="00F66187"/>
    <w:rsid w:val="00F70AB6"/>
    <w:rsid w:val="00F9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B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spacing w:after="0" w:line="240" w:lineRule="auto"/>
      <w:jc w:val="both"/>
      <w:outlineLvl w:val="0"/>
    </w:pPr>
    <w:rPr>
      <w:rFonts w:ascii="Tms Rmn" w:eastAsia="Times New Roma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 w:line="240" w:lineRule="auto"/>
      <w:ind w:left="288" w:right="288"/>
      <w:jc w:val="both"/>
    </w:pPr>
    <w:rPr>
      <w:rFonts w:ascii="Times New Roman" w:eastAsia="Times New Roman" w:hAnsi="Times New Roman" w:cs="Arial"/>
      <w:snapToGrid w:val="0"/>
      <w:sz w:val="18"/>
      <w:szCs w:val="20"/>
      <w:lang w:eastAsia="es-MX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Textonormal">
    <w:name w:val="Texto normal"/>
    <w:basedOn w:val="Normal"/>
    <w:rsid w:val="00F9466C"/>
    <w:pPr>
      <w:spacing w:before="240" w:after="240" w:line="240" w:lineRule="auto"/>
      <w:jc w:val="both"/>
    </w:pPr>
    <w:rPr>
      <w:rFonts w:ascii="Arial" w:eastAsia="Times New Roman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spacing w:after="0" w:line="240" w:lineRule="auto"/>
      <w:ind w:left="720"/>
      <w:jc w:val="both"/>
    </w:pPr>
    <w:rPr>
      <w:rFonts w:ascii="Arial" w:eastAsia="Times New Roman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spacing w:after="0" w:line="240" w:lineRule="auto"/>
      <w:ind w:left="2127" w:hanging="426"/>
      <w:jc w:val="both"/>
    </w:pPr>
    <w:rPr>
      <w:rFonts w:ascii="Times New Roman" w:eastAsia="Times New Roman" w:hAnsi="Times New Roman"/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after="0"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after="0" w:line="240" w:lineRule="atLeast"/>
      <w:ind w:left="860"/>
    </w:pPr>
    <w:rPr>
      <w:rFonts w:ascii="Times New Roman" w:eastAsia="Times New Roman" w:hAnsi="Times New Roman"/>
      <w:snapToGrid w:val="0"/>
      <w:sz w:val="24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spacing w:after="0" w:line="240" w:lineRule="auto"/>
      <w:jc w:val="center"/>
    </w:pPr>
    <w:rPr>
      <w:rFonts w:ascii="Comic Sans MS" w:eastAsia="Times New Roman" w:hAnsi="Comic Sans MS" w:cs="Comic Sans MS"/>
      <w:sz w:val="24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character" w:styleId="Refdecomentario">
    <w:name w:val="annotation reference"/>
    <w:basedOn w:val="Fuentedeprrafopredeter"/>
    <w:semiHidden/>
    <w:unhideWhenUsed/>
    <w:rsid w:val="006854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54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54A1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4A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B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spacing w:after="0" w:line="240" w:lineRule="auto"/>
      <w:jc w:val="both"/>
      <w:outlineLvl w:val="0"/>
    </w:pPr>
    <w:rPr>
      <w:rFonts w:ascii="Tms Rmn" w:eastAsia="Times New Roma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 w:line="240" w:lineRule="auto"/>
      <w:ind w:left="288" w:right="288"/>
      <w:jc w:val="both"/>
    </w:pPr>
    <w:rPr>
      <w:rFonts w:ascii="Times New Roman" w:eastAsia="Times New Roman" w:hAnsi="Times New Roman" w:cs="Arial"/>
      <w:snapToGrid w:val="0"/>
      <w:sz w:val="18"/>
      <w:szCs w:val="20"/>
      <w:lang w:eastAsia="es-MX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Textonormal">
    <w:name w:val="Texto normal"/>
    <w:basedOn w:val="Normal"/>
    <w:rsid w:val="00F9466C"/>
    <w:pPr>
      <w:spacing w:before="240" w:after="240" w:line="240" w:lineRule="auto"/>
      <w:jc w:val="both"/>
    </w:pPr>
    <w:rPr>
      <w:rFonts w:ascii="Arial" w:eastAsia="Times New Roman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spacing w:after="0" w:line="240" w:lineRule="auto"/>
      <w:ind w:left="720"/>
      <w:jc w:val="both"/>
    </w:pPr>
    <w:rPr>
      <w:rFonts w:ascii="Arial" w:eastAsia="Times New Roman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spacing w:after="0" w:line="240" w:lineRule="auto"/>
      <w:ind w:left="2127" w:hanging="426"/>
      <w:jc w:val="both"/>
    </w:pPr>
    <w:rPr>
      <w:rFonts w:ascii="Times New Roman" w:eastAsia="Times New Roman" w:hAnsi="Times New Roman"/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after="0"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after="0" w:line="240" w:lineRule="atLeast"/>
      <w:ind w:left="860"/>
    </w:pPr>
    <w:rPr>
      <w:rFonts w:ascii="Times New Roman" w:eastAsia="Times New Roman" w:hAnsi="Times New Roman"/>
      <w:snapToGrid w:val="0"/>
      <w:sz w:val="24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spacing w:after="0" w:line="240" w:lineRule="auto"/>
      <w:jc w:val="center"/>
    </w:pPr>
    <w:rPr>
      <w:rFonts w:ascii="Comic Sans MS" w:eastAsia="Times New Roman" w:hAnsi="Comic Sans MS" w:cs="Comic Sans MS"/>
      <w:sz w:val="24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character" w:styleId="Refdecomentario">
    <w:name w:val="annotation reference"/>
    <w:basedOn w:val="Fuentedeprrafopredeter"/>
    <w:semiHidden/>
    <w:unhideWhenUsed/>
    <w:rsid w:val="006854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54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54A1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4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2008-08-11T05:00:00+00:00</Fecha_x0020_Publicaci_x00f3_n>
    <Orden xmlns="923b4485-3672-48b9-ab7c-7fbdb6e7284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79DF-AC08-4933-A117-6DD84F06F9C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2C78C3C-C18C-42CA-BFAC-6594FE500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AEC6E-ACE9-42AB-A386-33BC66A0F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DF868F-D338-4551-A525-D21220039527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923b4485-3672-48b9-ab7c-7fbdb6e72846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3737B768-1A61-4ED1-BC65-4A800925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 Organismos de Integración</vt:lpstr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 Organismos de Integración</dc:title>
  <dc:creator>Celia Huerta</dc:creator>
  <cp:lastModifiedBy>Reinoso Dueñas Lorenzo Rafael</cp:lastModifiedBy>
  <cp:revision>2</cp:revision>
  <dcterms:created xsi:type="dcterms:W3CDTF">2014-12-19T23:23:00Z</dcterms:created>
  <dcterms:modified xsi:type="dcterms:W3CDTF">2014-12-19T23:23:00Z</dcterms:modified>
</cp:coreProperties>
</file>