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5" w:type="dxa"/>
        <w:tblInd w:w="144" w:type="dxa"/>
        <w:tblLayout w:type="fixed"/>
        <w:tblCellMar>
          <w:left w:w="70" w:type="dxa"/>
          <w:right w:w="70" w:type="dxa"/>
        </w:tblCellMar>
        <w:tblLook w:val="0000" w:firstRow="0" w:lastRow="0" w:firstColumn="0" w:lastColumn="0" w:noHBand="0" w:noVBand="0"/>
      </w:tblPr>
      <w:tblGrid>
        <w:gridCol w:w="8715"/>
        <w:gridCol w:w="850"/>
      </w:tblGrid>
      <w:tr w:rsidR="00F747A7" w:rsidRPr="00892DB3" w:rsidTr="00D325E7">
        <w:tc>
          <w:tcPr>
            <w:tcW w:w="8715" w:type="dxa"/>
            <w:noWrap/>
          </w:tcPr>
          <w:p w:rsidR="00F747A7" w:rsidRPr="00892DB3" w:rsidRDefault="00F747A7" w:rsidP="005F4F23">
            <w:pPr>
              <w:pStyle w:val="Texto"/>
              <w:spacing w:after="0" w:line="240" w:lineRule="auto"/>
              <w:ind w:firstLine="0"/>
              <w:contextualSpacing/>
              <w:jc w:val="center"/>
              <w:rPr>
                <w:rFonts w:ascii="Times New Roman" w:hAnsi="Times New Roman" w:cs="Times New Roman"/>
                <w:b/>
                <w:sz w:val="26"/>
                <w:szCs w:val="26"/>
                <w:u w:val="single"/>
              </w:rPr>
            </w:pPr>
            <w:r w:rsidRPr="00892DB3">
              <w:rPr>
                <w:rFonts w:ascii="Times New Roman" w:hAnsi="Times New Roman" w:cs="Times New Roman"/>
                <w:b/>
                <w:sz w:val="26"/>
                <w:szCs w:val="26"/>
              </w:rPr>
              <w:t>B-</w:t>
            </w:r>
            <w:r w:rsidR="0080159A" w:rsidRPr="00892DB3">
              <w:rPr>
                <w:rFonts w:ascii="Times New Roman" w:hAnsi="Times New Roman" w:cs="Times New Roman"/>
                <w:b/>
                <w:sz w:val="26"/>
                <w:szCs w:val="26"/>
              </w:rPr>
              <w:t>6</w:t>
            </w:r>
            <w:r w:rsidRPr="00892DB3">
              <w:rPr>
                <w:rFonts w:ascii="Times New Roman" w:hAnsi="Times New Roman" w:cs="Times New Roman"/>
                <w:b/>
                <w:sz w:val="26"/>
                <w:szCs w:val="26"/>
              </w:rPr>
              <w:t xml:space="preserve"> </w:t>
            </w:r>
            <w:r w:rsidRPr="00892DB3">
              <w:rPr>
                <w:rFonts w:ascii="Times New Roman" w:hAnsi="Times New Roman" w:cs="Times New Roman"/>
                <w:b/>
                <w:sz w:val="26"/>
                <w:szCs w:val="26"/>
                <w:u w:val="single"/>
              </w:rPr>
              <w:t>AVALES</w:t>
            </w:r>
          </w:p>
          <w:p w:rsidR="0077120B" w:rsidRPr="00892DB3" w:rsidRDefault="0077120B" w:rsidP="005F4F23">
            <w:pPr>
              <w:pStyle w:val="Texto"/>
              <w:spacing w:after="0" w:line="240" w:lineRule="auto"/>
              <w:ind w:firstLine="0"/>
              <w:contextualSpacing/>
              <w:jc w:val="center"/>
              <w:rPr>
                <w:rFonts w:ascii="Times New Roman" w:hAnsi="Times New Roman" w:cs="Times New Roman"/>
                <w:b/>
                <w:sz w:val="26"/>
                <w:szCs w:val="26"/>
              </w:rPr>
            </w:pPr>
          </w:p>
          <w:p w:rsidR="00F747A7" w:rsidRPr="00892DB3" w:rsidRDefault="00F747A7" w:rsidP="005F4F23">
            <w:pPr>
              <w:pStyle w:val="Texto"/>
              <w:spacing w:after="0" w:line="240" w:lineRule="auto"/>
              <w:ind w:firstLine="0"/>
              <w:contextualSpacing/>
              <w:rPr>
                <w:rFonts w:ascii="Times New Roman" w:hAnsi="Times New Roman" w:cs="Times New Roman"/>
                <w:b/>
                <w:sz w:val="26"/>
                <w:szCs w:val="26"/>
              </w:rPr>
            </w:pPr>
            <w:r w:rsidRPr="00892DB3">
              <w:rPr>
                <w:rFonts w:ascii="Times New Roman" w:hAnsi="Times New Roman" w:cs="Times New Roman"/>
                <w:b/>
                <w:sz w:val="26"/>
                <w:szCs w:val="26"/>
              </w:rPr>
              <w:t>Objetivo y alcance</w:t>
            </w:r>
          </w:p>
          <w:p w:rsidR="0077120B" w:rsidRPr="00892DB3" w:rsidRDefault="0077120B" w:rsidP="005F4F23">
            <w:pPr>
              <w:pStyle w:val="Texto"/>
              <w:spacing w:after="0" w:line="240" w:lineRule="auto"/>
              <w:ind w:firstLine="0"/>
              <w:contextualSpacing/>
              <w:rPr>
                <w:rFonts w:ascii="Times New Roman" w:hAnsi="Times New Roman" w:cs="Times New Roman"/>
                <w:b/>
                <w:sz w:val="26"/>
                <w:szCs w:val="26"/>
              </w:rPr>
            </w:pPr>
          </w:p>
        </w:tc>
        <w:tc>
          <w:tcPr>
            <w:tcW w:w="850" w:type="dxa"/>
          </w:tcPr>
          <w:p w:rsidR="00F747A7" w:rsidRPr="00892DB3" w:rsidRDefault="00F747A7" w:rsidP="00D325E7">
            <w:pPr>
              <w:pStyle w:val="Texto"/>
              <w:spacing w:after="0" w:line="240" w:lineRule="auto"/>
              <w:ind w:left="360" w:firstLine="0"/>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 xml:space="preserve">El presente criterio tiene por objetivo establecer el tratamiento contable que debe darse a los compromisos adquiridos por las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ntidades en el otorgamiento de avales.</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bookmarkStart w:id="0" w:name="_GoBack"/>
            <w:bookmarkEnd w:id="0"/>
          </w:p>
          <w:p w:rsidR="00F747A7" w:rsidRPr="00892DB3" w:rsidRDefault="00F747A7" w:rsidP="005F4F23">
            <w:pPr>
              <w:pStyle w:val="Texto"/>
              <w:spacing w:after="0" w:line="240" w:lineRule="auto"/>
              <w:ind w:firstLine="0"/>
              <w:contextualSpacing/>
              <w:rPr>
                <w:rFonts w:ascii="Times New Roman" w:hAnsi="Times New Roman" w:cs="Times New Roman"/>
                <w:b/>
                <w:sz w:val="26"/>
                <w:szCs w:val="26"/>
              </w:rPr>
            </w:pPr>
            <w:r w:rsidRPr="00892DB3">
              <w:rPr>
                <w:rFonts w:ascii="Times New Roman" w:hAnsi="Times New Roman" w:cs="Times New Roman"/>
                <w:b/>
                <w:sz w:val="26"/>
                <w:szCs w:val="26"/>
              </w:rPr>
              <w:t>Definición</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u w:val="single"/>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573941" w:rsidRPr="00892DB3" w:rsidRDefault="00F747A7" w:rsidP="00F97EF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 xml:space="preserve">Mediante el otorgamiento de un aval,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 sustenta la capacidad crediticia de</w:t>
            </w:r>
            <w:r w:rsidR="00016E43" w:rsidRPr="00892DB3">
              <w:rPr>
                <w:rFonts w:ascii="Times New Roman" w:hAnsi="Times New Roman" w:cs="Times New Roman"/>
                <w:sz w:val="26"/>
                <w:szCs w:val="26"/>
              </w:rPr>
              <w:t xml:space="preserve"> determinado</w:t>
            </w:r>
            <w:r w:rsidRPr="00892DB3">
              <w:rPr>
                <w:rFonts w:ascii="Times New Roman" w:hAnsi="Times New Roman" w:cs="Times New Roman"/>
                <w:sz w:val="26"/>
                <w:szCs w:val="26"/>
              </w:rPr>
              <w:t xml:space="preserve"> </w:t>
            </w:r>
            <w:r w:rsidR="000245AF" w:rsidRPr="00892DB3">
              <w:rPr>
                <w:rFonts w:ascii="Times New Roman" w:hAnsi="Times New Roman" w:cs="Times New Roman"/>
                <w:sz w:val="26"/>
                <w:szCs w:val="26"/>
              </w:rPr>
              <w:t>acreditado</w:t>
            </w:r>
            <w:r w:rsidRPr="00892DB3">
              <w:rPr>
                <w:rFonts w:ascii="Times New Roman" w:hAnsi="Times New Roman" w:cs="Times New Roman"/>
                <w:sz w:val="26"/>
                <w:szCs w:val="26"/>
              </w:rPr>
              <w:t xml:space="preserve"> mediante la promesa de pago de la obligación en caso de incumplimiento. </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En el contrato que da origen al aval, se define la eventualidad que generará el posible compromiso de pago, por lo que hasta que dicha eventualidad no se materialice, los avales representan únicamente compromisos adquiridos, de conformidad con lo previsto en el Boletín C-9 “Pasivo, provisiones, activos y pasivos contingentes y compromisos” de las NIF.</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p w:rsidR="00573941" w:rsidRPr="00892DB3" w:rsidRDefault="00F747A7" w:rsidP="00F97EF3">
            <w:pPr>
              <w:pStyle w:val="Texto"/>
              <w:spacing w:after="0" w:line="240" w:lineRule="auto"/>
              <w:ind w:firstLine="0"/>
              <w:contextualSpacing/>
              <w:rPr>
                <w:rFonts w:ascii="Times New Roman" w:hAnsi="Times New Roman" w:cs="Times New Roman"/>
                <w:b/>
                <w:sz w:val="26"/>
                <w:szCs w:val="26"/>
              </w:rPr>
            </w:pPr>
            <w:r w:rsidRPr="00892DB3">
              <w:rPr>
                <w:rFonts w:ascii="Times New Roman" w:hAnsi="Times New Roman" w:cs="Times New Roman"/>
                <w:b/>
                <w:sz w:val="26"/>
                <w:szCs w:val="26"/>
              </w:rPr>
              <w:t>Normas de re</w:t>
            </w:r>
            <w:r w:rsidR="00156296" w:rsidRPr="00892DB3">
              <w:rPr>
                <w:rFonts w:ascii="Times New Roman" w:hAnsi="Times New Roman" w:cs="Times New Roman"/>
                <w:b/>
                <w:sz w:val="26"/>
                <w:szCs w:val="26"/>
              </w:rPr>
              <w:t>conocimiento</w:t>
            </w:r>
            <w:r w:rsidRPr="00892DB3">
              <w:rPr>
                <w:rFonts w:ascii="Times New Roman" w:hAnsi="Times New Roman" w:cs="Times New Roman"/>
                <w:b/>
                <w:sz w:val="26"/>
                <w:szCs w:val="26"/>
              </w:rPr>
              <w:t xml:space="preserve"> y valuación</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u w:val="single"/>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573941" w:rsidRPr="00892DB3" w:rsidRDefault="00F747A7" w:rsidP="00F97EF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 xml:space="preserve">Al representar el aval un compromiso, no formará parte del balance general de las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ntidades en tanto la eventualidad no se materialice. Por lo anterior, el re</w:t>
            </w:r>
            <w:r w:rsidR="000245AF" w:rsidRPr="00892DB3">
              <w:rPr>
                <w:rFonts w:ascii="Times New Roman" w:hAnsi="Times New Roman" w:cs="Times New Roman"/>
                <w:sz w:val="26"/>
                <w:szCs w:val="26"/>
              </w:rPr>
              <w:t>conocimiento</w:t>
            </w:r>
            <w:r w:rsidRPr="00892DB3">
              <w:rPr>
                <w:rFonts w:ascii="Times New Roman" w:hAnsi="Times New Roman" w:cs="Times New Roman"/>
                <w:sz w:val="26"/>
                <w:szCs w:val="26"/>
              </w:rPr>
              <w:t xml:space="preserve"> de los avales deberá llevarse en cuentas de orden.</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573941" w:rsidRPr="00892DB3" w:rsidRDefault="00F747A7" w:rsidP="00F97EF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 xml:space="preserve">El monto total por el concepto de avales debe incluir el total de compromisos que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 xml:space="preserve">ntidad tenga a una fecha determinada. Conforme el </w:t>
            </w:r>
            <w:r w:rsidR="00D349EB" w:rsidRPr="00892DB3">
              <w:rPr>
                <w:rFonts w:ascii="Times New Roman" w:hAnsi="Times New Roman" w:cs="Times New Roman"/>
                <w:sz w:val="26"/>
                <w:szCs w:val="26"/>
              </w:rPr>
              <w:t>tercero</w:t>
            </w:r>
            <w:r w:rsidRPr="00892DB3">
              <w:rPr>
                <w:rFonts w:ascii="Times New Roman" w:hAnsi="Times New Roman" w:cs="Times New Roman"/>
                <w:sz w:val="26"/>
                <w:szCs w:val="26"/>
              </w:rPr>
              <w:t xml:space="preserve"> con quien se tenga el compromiso liquide las obligaciones que han sido avaladas,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 deberá cancelar dichos importes de sus registros.</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DA74C0" w:rsidRPr="00892DB3" w:rsidTr="00D325E7">
        <w:tc>
          <w:tcPr>
            <w:tcW w:w="8715" w:type="dxa"/>
          </w:tcPr>
          <w:p w:rsidR="00DA74C0" w:rsidRDefault="00DA74C0">
            <w:pPr>
              <w:pStyle w:val="Texto"/>
              <w:spacing w:after="0" w:line="240" w:lineRule="auto"/>
              <w:ind w:firstLine="0"/>
              <w:contextualSpacing/>
              <w:rPr>
                <w:rFonts w:ascii="Times New Roman" w:hAnsi="Times New Roman" w:cs="Times New Roman"/>
                <w:sz w:val="26"/>
                <w:szCs w:val="26"/>
              </w:rPr>
            </w:pPr>
            <w:r w:rsidRPr="005B5709">
              <w:rPr>
                <w:rFonts w:ascii="Times New Roman" w:hAnsi="Times New Roman" w:cs="Times New Roman"/>
                <w:sz w:val="26"/>
                <w:szCs w:val="26"/>
              </w:rPr>
              <w:t>La entidad deberá determinar una estimación de los avales otorgados que puedan incumplir</w:t>
            </w:r>
            <w:r w:rsidR="00AC3076">
              <w:rPr>
                <w:rFonts w:ascii="Times New Roman" w:hAnsi="Times New Roman" w:cs="Times New Roman"/>
                <w:sz w:val="26"/>
                <w:szCs w:val="26"/>
              </w:rPr>
              <w:t>, con base en un estudio que considere</w:t>
            </w:r>
            <w:r w:rsidRPr="005B5709">
              <w:rPr>
                <w:rFonts w:ascii="Times New Roman" w:hAnsi="Times New Roman" w:cs="Times New Roman"/>
                <w:sz w:val="26"/>
                <w:szCs w:val="26"/>
              </w:rPr>
              <w:t xml:space="preserve"> el comportamiento pasado del acreditado, su viabilidad económica o el riesgo del proyecto sobre el que se otorga el aval, debiendo calificar y provisionar éstos conjuntamente con la cartera de crédito a su cargo.</w:t>
            </w:r>
          </w:p>
          <w:p w:rsidR="00DA74C0" w:rsidRPr="00892DB3" w:rsidRDefault="00DA74C0">
            <w:pPr>
              <w:pStyle w:val="Texto"/>
              <w:spacing w:after="0" w:line="240" w:lineRule="auto"/>
              <w:ind w:firstLine="0"/>
              <w:contextualSpacing/>
              <w:rPr>
                <w:rFonts w:ascii="Times New Roman" w:hAnsi="Times New Roman" w:cs="Times New Roman"/>
                <w:sz w:val="26"/>
                <w:szCs w:val="26"/>
              </w:rPr>
            </w:pPr>
          </w:p>
        </w:tc>
        <w:tc>
          <w:tcPr>
            <w:tcW w:w="850" w:type="dxa"/>
          </w:tcPr>
          <w:p w:rsidR="00DA74C0" w:rsidRPr="00892DB3" w:rsidRDefault="00DA74C0"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573941" w:rsidRPr="00356712" w:rsidRDefault="00DA74C0" w:rsidP="00356712">
            <w:pPr>
              <w:pStyle w:val="Texto"/>
              <w:spacing w:after="0" w:line="240" w:lineRule="auto"/>
              <w:ind w:firstLine="0"/>
              <w:contextualSpacing/>
              <w:rPr>
                <w:rFonts w:ascii="Times New Roman" w:hAnsi="Times New Roman" w:cs="Times New Roman"/>
                <w:sz w:val="26"/>
                <w:szCs w:val="26"/>
              </w:rPr>
            </w:pPr>
            <w:r w:rsidRPr="00356712">
              <w:rPr>
                <w:rFonts w:ascii="Times New Roman" w:hAnsi="Times New Roman" w:cs="Times New Roman"/>
                <w:sz w:val="26"/>
                <w:szCs w:val="26"/>
              </w:rPr>
              <w:t>El monto de</w:t>
            </w:r>
            <w:r w:rsidR="00F747A7" w:rsidRPr="00356712">
              <w:rPr>
                <w:rFonts w:ascii="Times New Roman" w:hAnsi="Times New Roman" w:cs="Times New Roman"/>
                <w:sz w:val="26"/>
                <w:szCs w:val="26"/>
              </w:rPr>
              <w:t xml:space="preserve"> </w:t>
            </w:r>
            <w:r w:rsidRPr="00356712">
              <w:rPr>
                <w:rFonts w:ascii="Times New Roman" w:hAnsi="Times New Roman" w:cs="Times New Roman"/>
                <w:sz w:val="26"/>
                <w:szCs w:val="26"/>
              </w:rPr>
              <w:t>dich</w:t>
            </w:r>
            <w:r w:rsidR="00F747A7" w:rsidRPr="00356712">
              <w:rPr>
                <w:rFonts w:ascii="Times New Roman" w:hAnsi="Times New Roman" w:cs="Times New Roman"/>
                <w:sz w:val="26"/>
                <w:szCs w:val="26"/>
              </w:rPr>
              <w:t xml:space="preserve">a estimación </w:t>
            </w:r>
            <w:r w:rsidRPr="00356712">
              <w:rPr>
                <w:rFonts w:ascii="Times New Roman" w:hAnsi="Times New Roman" w:cs="Times New Roman"/>
                <w:sz w:val="26"/>
                <w:szCs w:val="26"/>
              </w:rPr>
              <w:t xml:space="preserve">deberá </w:t>
            </w:r>
            <w:r w:rsidR="00E62191" w:rsidRPr="00356712">
              <w:rPr>
                <w:rFonts w:ascii="Times New Roman" w:hAnsi="Times New Roman" w:cs="Times New Roman"/>
                <w:sz w:val="26"/>
                <w:szCs w:val="26"/>
              </w:rPr>
              <w:t>reconocerse en los resultados del ejercicio</w:t>
            </w:r>
            <w:r w:rsidR="00AC3076">
              <w:rPr>
                <w:rFonts w:ascii="Times New Roman" w:hAnsi="Times New Roman" w:cs="Times New Roman"/>
                <w:sz w:val="26"/>
                <w:szCs w:val="26"/>
              </w:rPr>
              <w:t xml:space="preserve"> del periodo que corresponda</w:t>
            </w:r>
            <w:r w:rsidR="00F747A7" w:rsidRPr="00356712">
              <w:rPr>
                <w:rFonts w:ascii="Times New Roman" w:hAnsi="Times New Roman" w:cs="Times New Roman"/>
                <w:sz w:val="26"/>
                <w:szCs w:val="26"/>
              </w:rPr>
              <w:t>.</w:t>
            </w:r>
          </w:p>
          <w:p w:rsidR="0077120B" w:rsidRPr="00356712"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356712"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573941" w:rsidRPr="00892DB3" w:rsidRDefault="00F747A7">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En caso de incumplimiento de</w:t>
            </w:r>
            <w:r w:rsidR="00566C24" w:rsidRPr="00892DB3">
              <w:rPr>
                <w:rFonts w:ascii="Times New Roman" w:hAnsi="Times New Roman" w:cs="Times New Roman"/>
                <w:sz w:val="26"/>
                <w:szCs w:val="26"/>
              </w:rPr>
              <w:t xml:space="preserve"> </w:t>
            </w:r>
            <w:r w:rsidRPr="00892DB3">
              <w:rPr>
                <w:rFonts w:ascii="Times New Roman" w:hAnsi="Times New Roman" w:cs="Times New Roman"/>
                <w:sz w:val="26"/>
                <w:szCs w:val="26"/>
              </w:rPr>
              <w:t>l</w:t>
            </w:r>
            <w:r w:rsidR="00566C24" w:rsidRPr="00892DB3">
              <w:rPr>
                <w:rFonts w:ascii="Times New Roman" w:hAnsi="Times New Roman" w:cs="Times New Roman"/>
                <w:sz w:val="26"/>
                <w:szCs w:val="26"/>
              </w:rPr>
              <w:t>a</w:t>
            </w:r>
            <w:r w:rsidRPr="00892DB3">
              <w:rPr>
                <w:rFonts w:ascii="Times New Roman" w:hAnsi="Times New Roman" w:cs="Times New Roman"/>
                <w:sz w:val="26"/>
                <w:szCs w:val="26"/>
              </w:rPr>
              <w:t xml:space="preserve"> </w:t>
            </w:r>
            <w:r w:rsidR="00566C24" w:rsidRPr="00892DB3">
              <w:rPr>
                <w:rFonts w:ascii="Times New Roman" w:hAnsi="Times New Roman" w:cs="Times New Roman"/>
                <w:sz w:val="26"/>
                <w:szCs w:val="26"/>
              </w:rPr>
              <w:t>persona</w:t>
            </w:r>
            <w:r w:rsidRPr="00892DB3">
              <w:rPr>
                <w:rFonts w:ascii="Times New Roman" w:hAnsi="Times New Roman" w:cs="Times New Roman"/>
                <w:sz w:val="26"/>
                <w:szCs w:val="26"/>
              </w:rPr>
              <w:t xml:space="preserve"> a quien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 xml:space="preserve">ntidad esté avalando, el monto total por el que se otorgó el aval se registrará en el balance general de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 xml:space="preserve">ntidad como cartera de crédito, reconociendo el pasivo correspondiente. Una vez </w:t>
            </w:r>
            <w:r w:rsidRPr="00892DB3">
              <w:rPr>
                <w:rFonts w:ascii="Times New Roman" w:hAnsi="Times New Roman" w:cs="Times New Roman"/>
                <w:sz w:val="26"/>
                <w:szCs w:val="26"/>
              </w:rPr>
              <w:lastRenderedPageBreak/>
              <w:t xml:space="preserve">afectada la cartera, a </w:t>
            </w:r>
            <w:r w:rsidR="00E62191">
              <w:rPr>
                <w:rFonts w:ascii="Times New Roman" w:hAnsi="Times New Roman" w:cs="Times New Roman"/>
                <w:sz w:val="26"/>
                <w:szCs w:val="26"/>
              </w:rPr>
              <w:t>e</w:t>
            </w:r>
            <w:r w:rsidRPr="00892DB3">
              <w:rPr>
                <w:rFonts w:ascii="Times New Roman" w:hAnsi="Times New Roman" w:cs="Times New Roman"/>
                <w:sz w:val="26"/>
                <w:szCs w:val="26"/>
              </w:rPr>
              <w:t>sta le serán aplicables las disposiciones contenidas en el criterio B-</w:t>
            </w:r>
            <w:r w:rsidR="0080159A" w:rsidRPr="00892DB3">
              <w:rPr>
                <w:rFonts w:ascii="Times New Roman" w:hAnsi="Times New Roman" w:cs="Times New Roman"/>
                <w:sz w:val="26"/>
                <w:szCs w:val="26"/>
              </w:rPr>
              <w:t>4</w:t>
            </w:r>
            <w:r w:rsidRPr="00892DB3">
              <w:rPr>
                <w:rFonts w:ascii="Times New Roman" w:hAnsi="Times New Roman" w:cs="Times New Roman"/>
                <w:sz w:val="26"/>
                <w:szCs w:val="26"/>
              </w:rPr>
              <w:t xml:space="preserve"> “Cartera de crédito”.</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lastRenderedPageBreak/>
              <w:t xml:space="preserve">Los ingresos por comisiones provenientes del otorgamiento de avales se reconocerán en los resultados del ejercicio conforme se </w:t>
            </w:r>
            <w:r w:rsidR="00E62191">
              <w:rPr>
                <w:rFonts w:ascii="Times New Roman" w:hAnsi="Times New Roman" w:cs="Times New Roman"/>
                <w:sz w:val="26"/>
                <w:szCs w:val="26"/>
              </w:rPr>
              <w:t>devengu</w:t>
            </w:r>
            <w:r w:rsidRPr="00892DB3">
              <w:rPr>
                <w:rFonts w:ascii="Times New Roman" w:hAnsi="Times New Roman" w:cs="Times New Roman"/>
                <w:sz w:val="26"/>
                <w:szCs w:val="26"/>
              </w:rPr>
              <w:t xml:space="preserve">en. </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p w:rsidR="00F747A7" w:rsidRPr="00892DB3" w:rsidRDefault="00F747A7" w:rsidP="005F4F23">
            <w:pPr>
              <w:pStyle w:val="Texto"/>
              <w:spacing w:after="0" w:line="240" w:lineRule="auto"/>
              <w:ind w:firstLine="0"/>
              <w:contextualSpacing/>
              <w:rPr>
                <w:rFonts w:ascii="Times New Roman" w:hAnsi="Times New Roman" w:cs="Times New Roman"/>
                <w:b/>
                <w:sz w:val="26"/>
                <w:szCs w:val="26"/>
              </w:rPr>
            </w:pPr>
            <w:r w:rsidRPr="00892DB3">
              <w:rPr>
                <w:rFonts w:ascii="Times New Roman" w:hAnsi="Times New Roman" w:cs="Times New Roman"/>
                <w:b/>
                <w:sz w:val="26"/>
                <w:szCs w:val="26"/>
              </w:rPr>
              <w:t>Normas de presentación</w:t>
            </w:r>
          </w:p>
          <w:p w:rsidR="0077120B" w:rsidRPr="00892DB3" w:rsidRDefault="0077120B" w:rsidP="005F4F23">
            <w:pPr>
              <w:pStyle w:val="Texto"/>
              <w:spacing w:after="0" w:line="240" w:lineRule="auto"/>
              <w:ind w:firstLine="0"/>
              <w:contextualSpacing/>
              <w:rPr>
                <w:rFonts w:ascii="Times New Roman" w:hAnsi="Times New Roman" w:cs="Times New Roman"/>
                <w:b/>
                <w:sz w:val="26"/>
                <w:szCs w:val="26"/>
              </w:rPr>
            </w:pPr>
          </w:p>
          <w:p w:rsidR="00F747A7" w:rsidRPr="00892DB3" w:rsidRDefault="00F747A7" w:rsidP="005F4F23">
            <w:pPr>
              <w:pStyle w:val="Texto"/>
              <w:spacing w:after="0" w:line="240" w:lineRule="auto"/>
              <w:ind w:firstLine="0"/>
              <w:contextualSpacing/>
              <w:rPr>
                <w:rFonts w:ascii="Times New Roman" w:hAnsi="Times New Roman" w:cs="Times New Roman"/>
                <w:i/>
                <w:sz w:val="26"/>
                <w:szCs w:val="26"/>
              </w:rPr>
            </w:pPr>
            <w:r w:rsidRPr="00892DB3">
              <w:rPr>
                <w:rFonts w:ascii="Times New Roman" w:hAnsi="Times New Roman" w:cs="Times New Roman"/>
                <w:i/>
                <w:sz w:val="26"/>
                <w:szCs w:val="26"/>
              </w:rPr>
              <w:t>Balance general</w:t>
            </w:r>
          </w:p>
          <w:p w:rsidR="0077120B" w:rsidRPr="00892DB3" w:rsidRDefault="0077120B" w:rsidP="005F4F23">
            <w:pPr>
              <w:pStyle w:val="Texto"/>
              <w:spacing w:after="0" w:line="240" w:lineRule="auto"/>
              <w:ind w:firstLine="0"/>
              <w:contextualSpacing/>
              <w:rPr>
                <w:rFonts w:ascii="Times New Roman" w:hAnsi="Times New Roman" w:cs="Times New Roman"/>
                <w:i/>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El monto correspondiente a los avales otorgados se presentará en cuentas de orden, al calce del balance general.</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El saldo del pasivo por el incumplimiento de</w:t>
            </w:r>
            <w:r w:rsidR="00EA016E" w:rsidRPr="00892DB3">
              <w:rPr>
                <w:rFonts w:ascii="Times New Roman" w:hAnsi="Times New Roman" w:cs="Times New Roman"/>
                <w:sz w:val="26"/>
                <w:szCs w:val="26"/>
              </w:rPr>
              <w:t xml:space="preserve"> </w:t>
            </w:r>
            <w:r w:rsidRPr="00892DB3">
              <w:rPr>
                <w:rFonts w:ascii="Times New Roman" w:hAnsi="Times New Roman" w:cs="Times New Roman"/>
                <w:sz w:val="26"/>
                <w:szCs w:val="26"/>
              </w:rPr>
              <w:t>l</w:t>
            </w:r>
            <w:r w:rsidR="00EA016E" w:rsidRPr="00892DB3">
              <w:rPr>
                <w:rFonts w:ascii="Times New Roman" w:hAnsi="Times New Roman" w:cs="Times New Roman"/>
                <w:sz w:val="26"/>
                <w:szCs w:val="26"/>
              </w:rPr>
              <w:t>a</w:t>
            </w:r>
            <w:r w:rsidRPr="00892DB3">
              <w:rPr>
                <w:rFonts w:ascii="Times New Roman" w:hAnsi="Times New Roman" w:cs="Times New Roman"/>
                <w:sz w:val="26"/>
                <w:szCs w:val="26"/>
              </w:rPr>
              <w:t xml:space="preserve"> </w:t>
            </w:r>
            <w:r w:rsidR="00EA016E" w:rsidRPr="00892DB3">
              <w:rPr>
                <w:rFonts w:ascii="Times New Roman" w:hAnsi="Times New Roman" w:cs="Times New Roman"/>
                <w:sz w:val="26"/>
                <w:szCs w:val="26"/>
              </w:rPr>
              <w:t>persona</w:t>
            </w:r>
            <w:r w:rsidRPr="00892DB3">
              <w:rPr>
                <w:rFonts w:ascii="Times New Roman" w:hAnsi="Times New Roman" w:cs="Times New Roman"/>
                <w:sz w:val="26"/>
                <w:szCs w:val="26"/>
              </w:rPr>
              <w:t xml:space="preserve"> a quien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 esté avalando se incluirá como un acreedor diverso en el rubro de otras cuentas por pagar.</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p w:rsidR="00F747A7" w:rsidRPr="00892DB3" w:rsidRDefault="00F747A7" w:rsidP="005F4F23">
            <w:pPr>
              <w:pStyle w:val="Texto"/>
              <w:spacing w:after="0" w:line="240" w:lineRule="auto"/>
              <w:ind w:firstLine="0"/>
              <w:contextualSpacing/>
              <w:rPr>
                <w:rFonts w:ascii="Times New Roman" w:hAnsi="Times New Roman" w:cs="Times New Roman"/>
                <w:i/>
                <w:sz w:val="26"/>
                <w:szCs w:val="26"/>
              </w:rPr>
            </w:pPr>
            <w:r w:rsidRPr="00892DB3">
              <w:rPr>
                <w:rFonts w:ascii="Times New Roman" w:hAnsi="Times New Roman" w:cs="Times New Roman"/>
                <w:i/>
                <w:sz w:val="26"/>
                <w:szCs w:val="26"/>
              </w:rPr>
              <w:t>Estado de resultados</w:t>
            </w:r>
          </w:p>
          <w:p w:rsidR="0077120B" w:rsidRPr="00892DB3" w:rsidRDefault="0077120B" w:rsidP="005F4F23">
            <w:pPr>
              <w:pStyle w:val="Texto"/>
              <w:spacing w:after="0" w:line="240" w:lineRule="auto"/>
              <w:ind w:firstLine="0"/>
              <w:contextualSpacing/>
              <w:rPr>
                <w:rFonts w:ascii="Times New Roman" w:hAnsi="Times New Roman" w:cs="Times New Roman"/>
                <w:i/>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Las comisiones cobradas por el otorgamiento de avales, se presentarán en el rubro de comisiones y tarifas cobradas.</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p w:rsidR="00F747A7" w:rsidRPr="00892DB3" w:rsidRDefault="00F747A7" w:rsidP="005F4F23">
            <w:pPr>
              <w:pStyle w:val="Texto"/>
              <w:spacing w:after="0" w:line="240" w:lineRule="auto"/>
              <w:ind w:firstLine="0"/>
              <w:contextualSpacing/>
              <w:rPr>
                <w:rFonts w:ascii="Times New Roman" w:hAnsi="Times New Roman" w:cs="Times New Roman"/>
                <w:b/>
                <w:sz w:val="26"/>
                <w:szCs w:val="26"/>
              </w:rPr>
            </w:pPr>
            <w:r w:rsidRPr="00892DB3">
              <w:rPr>
                <w:rFonts w:ascii="Times New Roman" w:hAnsi="Times New Roman" w:cs="Times New Roman"/>
                <w:b/>
                <w:sz w:val="26"/>
                <w:szCs w:val="26"/>
              </w:rPr>
              <w:t>Normas de revelación</w:t>
            </w:r>
          </w:p>
          <w:p w:rsidR="0077120B" w:rsidRPr="00892DB3" w:rsidRDefault="0077120B" w:rsidP="005F4F23">
            <w:pPr>
              <w:pStyle w:val="Texto"/>
              <w:spacing w:after="0" w:line="240" w:lineRule="auto"/>
              <w:ind w:firstLine="0"/>
              <w:contextualSpacing/>
              <w:rPr>
                <w:rFonts w:ascii="Times New Roman" w:hAnsi="Times New Roman" w:cs="Times New Roman"/>
                <w:b/>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892DB3" w:rsidTr="00D325E7">
        <w:tc>
          <w:tcPr>
            <w:tcW w:w="8715" w:type="dxa"/>
          </w:tcPr>
          <w:p w:rsidR="00F747A7" w:rsidRPr="00892DB3" w:rsidRDefault="00F747A7" w:rsidP="005F4F2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Mediante notas a los estados financieros, se deberán revelar los tipos de operaciones que dieron origen a los avales, incluyendo los términos genéricos sobre los cuales se realizaron este tipo de operaciones.</w:t>
            </w:r>
          </w:p>
          <w:p w:rsidR="0077120B" w:rsidRPr="00892DB3" w:rsidRDefault="0077120B" w:rsidP="005F4F23">
            <w:pPr>
              <w:pStyle w:val="Texto"/>
              <w:spacing w:after="0" w:line="240" w:lineRule="auto"/>
              <w:ind w:firstLine="0"/>
              <w:contextualSpacing/>
              <w:rPr>
                <w:rFonts w:ascii="Times New Roman" w:hAnsi="Times New Roman" w:cs="Times New Roman"/>
                <w:sz w:val="26"/>
                <w:szCs w:val="26"/>
              </w:rPr>
            </w:pP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r w:rsidR="00F747A7" w:rsidRPr="005F4F23" w:rsidTr="00D325E7">
        <w:tc>
          <w:tcPr>
            <w:tcW w:w="8715" w:type="dxa"/>
          </w:tcPr>
          <w:p w:rsidR="00573941" w:rsidRPr="00892DB3" w:rsidRDefault="00F747A7" w:rsidP="00F97EF3">
            <w:pPr>
              <w:pStyle w:val="Texto"/>
              <w:spacing w:after="0" w:line="240" w:lineRule="auto"/>
              <w:ind w:firstLine="0"/>
              <w:contextualSpacing/>
              <w:rPr>
                <w:rFonts w:ascii="Times New Roman" w:hAnsi="Times New Roman" w:cs="Times New Roman"/>
                <w:sz w:val="26"/>
                <w:szCs w:val="26"/>
              </w:rPr>
            </w:pPr>
            <w:r w:rsidRPr="00892DB3">
              <w:rPr>
                <w:rFonts w:ascii="Times New Roman" w:hAnsi="Times New Roman" w:cs="Times New Roman"/>
                <w:sz w:val="26"/>
                <w:szCs w:val="26"/>
              </w:rPr>
              <w:t xml:space="preserve">Las pérdidas causadas a la </w:t>
            </w:r>
            <w:r w:rsidR="00A038A5" w:rsidRPr="00892DB3">
              <w:rPr>
                <w:rFonts w:ascii="Times New Roman" w:hAnsi="Times New Roman" w:cs="Times New Roman"/>
                <w:sz w:val="26"/>
                <w:szCs w:val="26"/>
              </w:rPr>
              <w:t>e</w:t>
            </w:r>
            <w:r w:rsidRPr="00892DB3">
              <w:rPr>
                <w:rFonts w:ascii="Times New Roman" w:hAnsi="Times New Roman" w:cs="Times New Roman"/>
                <w:sz w:val="26"/>
                <w:szCs w:val="26"/>
              </w:rPr>
              <w:t>ntidad por concepto de incumplimiento de los avalados, el monto de la estimación constituida, así como las recuperaciones, también deberán ser reveladas.</w:t>
            </w:r>
          </w:p>
        </w:tc>
        <w:tc>
          <w:tcPr>
            <w:tcW w:w="850" w:type="dxa"/>
          </w:tcPr>
          <w:p w:rsidR="00F747A7" w:rsidRPr="00892DB3" w:rsidRDefault="00F747A7" w:rsidP="00D325E7">
            <w:pPr>
              <w:pStyle w:val="Texto"/>
              <w:numPr>
                <w:ilvl w:val="0"/>
                <w:numId w:val="128"/>
              </w:numPr>
              <w:spacing w:after="0" w:line="240" w:lineRule="auto"/>
              <w:contextualSpacing/>
              <w:jc w:val="left"/>
              <w:rPr>
                <w:rFonts w:ascii="Times New Roman" w:hAnsi="Times New Roman" w:cs="Times New Roman"/>
                <w:sz w:val="20"/>
              </w:rPr>
            </w:pPr>
          </w:p>
        </w:tc>
      </w:tr>
    </w:tbl>
    <w:p w:rsidR="00F747A7" w:rsidRPr="005F4F23" w:rsidRDefault="00F747A7" w:rsidP="005F4F23">
      <w:pPr>
        <w:pStyle w:val="Texto"/>
        <w:spacing w:after="0" w:line="240" w:lineRule="auto"/>
        <w:contextualSpacing/>
        <w:rPr>
          <w:rFonts w:ascii="Times New Roman" w:hAnsi="Times New Roman" w:cs="Times New Roman"/>
          <w:sz w:val="26"/>
          <w:szCs w:val="26"/>
        </w:rPr>
      </w:pPr>
    </w:p>
    <w:sectPr w:rsidR="00F747A7" w:rsidRPr="005F4F23" w:rsidSect="00127D76">
      <w:headerReference w:type="default" r:id="rId9"/>
      <w:headerReference w:type="first" r:id="rId10"/>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3D0" w:rsidRDefault="00AF33D0">
      <w:r>
        <w:separator/>
      </w:r>
    </w:p>
  </w:endnote>
  <w:endnote w:type="continuationSeparator" w:id="0">
    <w:p w:rsidR="00AF33D0" w:rsidRDefault="00AF3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3D0" w:rsidRDefault="00AF33D0">
      <w:r>
        <w:separator/>
      </w:r>
    </w:p>
  </w:footnote>
  <w:footnote w:type="continuationSeparator" w:id="0">
    <w:p w:rsidR="00AF33D0" w:rsidRDefault="00AF3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A7" w:rsidRPr="0049178D" w:rsidRDefault="00F747A7">
    <w:pPr>
      <w:pStyle w:val="Encabezado"/>
      <w:rPr>
        <w:i/>
        <w:sz w:val="26"/>
        <w:szCs w:val="26"/>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A7" w:rsidRDefault="00F747A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AF4AB4"/>
    <w:multiLevelType w:val="hybridMultilevel"/>
    <w:tmpl w:val="1E561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0C0C6BCF"/>
    <w:multiLevelType w:val="hybridMultilevel"/>
    <w:tmpl w:val="83BAF92C"/>
    <w:lvl w:ilvl="0" w:tplc="9C3664E4">
      <w:start w:val="22"/>
      <w:numFmt w:val="lowerLetter"/>
      <w:lvlText w:val="%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21">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6E25D8"/>
    <w:multiLevelType w:val="hybridMultilevel"/>
    <w:tmpl w:val="F9AC066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4">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3">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4">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3327E65"/>
    <w:multiLevelType w:val="hybridMultilevel"/>
    <w:tmpl w:val="E3D62D3E"/>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F5B00F4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2">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3">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4">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6">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B8B24BA"/>
    <w:multiLevelType w:val="hybridMultilevel"/>
    <w:tmpl w:val="C76AB708"/>
    <w:lvl w:ilvl="0" w:tplc="02420E4C">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2">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3">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5">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7">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1">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4">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5">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8">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9">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nsid w:val="3FC77257"/>
    <w:multiLevelType w:val="hybridMultilevel"/>
    <w:tmpl w:val="9852054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2">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3">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6">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8">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80">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4">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7">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9">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0">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nsid w:val="54033AE8"/>
    <w:multiLevelType w:val="hybridMultilevel"/>
    <w:tmpl w:val="5E845C26"/>
    <w:lvl w:ilvl="0" w:tplc="17906E70">
      <w:start w:val="2"/>
      <w:numFmt w:val="bullet"/>
      <w:lvlText w:val="-"/>
      <w:lvlJc w:val="left"/>
      <w:pPr>
        <w:ind w:left="-72" w:hanging="360"/>
      </w:pPr>
      <w:rPr>
        <w:rFonts w:ascii="Times New Roman" w:eastAsia="Times New Roman" w:hAnsi="Times New Roman" w:cs="Times New Roman" w:hint="default"/>
      </w:rPr>
    </w:lvl>
    <w:lvl w:ilvl="1" w:tplc="04090003" w:tentative="1">
      <w:start w:val="1"/>
      <w:numFmt w:val="bullet"/>
      <w:lvlText w:val="o"/>
      <w:lvlJc w:val="left"/>
      <w:pPr>
        <w:ind w:left="648" w:hanging="360"/>
      </w:pPr>
      <w:rPr>
        <w:rFonts w:ascii="Courier New" w:hAnsi="Courier New" w:cs="Courier New" w:hint="default"/>
      </w:rPr>
    </w:lvl>
    <w:lvl w:ilvl="2" w:tplc="04090005" w:tentative="1">
      <w:start w:val="1"/>
      <w:numFmt w:val="bullet"/>
      <w:lvlText w:val=""/>
      <w:lvlJc w:val="left"/>
      <w:pPr>
        <w:ind w:left="1368" w:hanging="360"/>
      </w:pPr>
      <w:rPr>
        <w:rFonts w:ascii="Wingdings" w:hAnsi="Wingdings" w:hint="default"/>
      </w:rPr>
    </w:lvl>
    <w:lvl w:ilvl="3" w:tplc="04090001" w:tentative="1">
      <w:start w:val="1"/>
      <w:numFmt w:val="bullet"/>
      <w:lvlText w:val=""/>
      <w:lvlJc w:val="left"/>
      <w:pPr>
        <w:ind w:left="2088" w:hanging="360"/>
      </w:pPr>
      <w:rPr>
        <w:rFonts w:ascii="Symbol" w:hAnsi="Symbol" w:hint="default"/>
      </w:rPr>
    </w:lvl>
    <w:lvl w:ilvl="4" w:tplc="04090003" w:tentative="1">
      <w:start w:val="1"/>
      <w:numFmt w:val="bullet"/>
      <w:lvlText w:val="o"/>
      <w:lvlJc w:val="left"/>
      <w:pPr>
        <w:ind w:left="2808" w:hanging="360"/>
      </w:pPr>
      <w:rPr>
        <w:rFonts w:ascii="Courier New" w:hAnsi="Courier New" w:cs="Courier New" w:hint="default"/>
      </w:rPr>
    </w:lvl>
    <w:lvl w:ilvl="5" w:tplc="04090005" w:tentative="1">
      <w:start w:val="1"/>
      <w:numFmt w:val="bullet"/>
      <w:lvlText w:val=""/>
      <w:lvlJc w:val="left"/>
      <w:pPr>
        <w:ind w:left="3528" w:hanging="360"/>
      </w:pPr>
      <w:rPr>
        <w:rFonts w:ascii="Wingdings" w:hAnsi="Wingdings" w:hint="default"/>
      </w:rPr>
    </w:lvl>
    <w:lvl w:ilvl="6" w:tplc="04090001" w:tentative="1">
      <w:start w:val="1"/>
      <w:numFmt w:val="bullet"/>
      <w:lvlText w:val=""/>
      <w:lvlJc w:val="left"/>
      <w:pPr>
        <w:ind w:left="4248" w:hanging="360"/>
      </w:pPr>
      <w:rPr>
        <w:rFonts w:ascii="Symbol" w:hAnsi="Symbol" w:hint="default"/>
      </w:rPr>
    </w:lvl>
    <w:lvl w:ilvl="7" w:tplc="04090003" w:tentative="1">
      <w:start w:val="1"/>
      <w:numFmt w:val="bullet"/>
      <w:lvlText w:val="o"/>
      <w:lvlJc w:val="left"/>
      <w:pPr>
        <w:ind w:left="4968" w:hanging="360"/>
      </w:pPr>
      <w:rPr>
        <w:rFonts w:ascii="Courier New" w:hAnsi="Courier New" w:cs="Courier New" w:hint="default"/>
      </w:rPr>
    </w:lvl>
    <w:lvl w:ilvl="8" w:tplc="04090005" w:tentative="1">
      <w:start w:val="1"/>
      <w:numFmt w:val="bullet"/>
      <w:lvlText w:val=""/>
      <w:lvlJc w:val="left"/>
      <w:pPr>
        <w:ind w:left="5688" w:hanging="360"/>
      </w:pPr>
      <w:rPr>
        <w:rFonts w:ascii="Wingdings" w:hAnsi="Wingdings" w:hint="default"/>
      </w:rPr>
    </w:lvl>
  </w:abstractNum>
  <w:abstractNum w:abstractNumId="93">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5">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6">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7">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E815524"/>
    <w:multiLevelType w:val="hybridMultilevel"/>
    <w:tmpl w:val="3236A85E"/>
    <w:lvl w:ilvl="0" w:tplc="04090017">
      <w:start w:val="1"/>
      <w:numFmt w:val="lowerLetter"/>
      <w:lvlText w:val="%1)"/>
      <w:lvlJc w:val="left"/>
      <w:pPr>
        <w:ind w:left="288" w:hanging="360"/>
      </w:pPr>
    </w:lvl>
    <w:lvl w:ilvl="1" w:tplc="04090019">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99">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0">
    <w:nsid w:val="5F1F6638"/>
    <w:multiLevelType w:val="hybridMultilevel"/>
    <w:tmpl w:val="7B865544"/>
    <w:lvl w:ilvl="0" w:tplc="04090017">
      <w:start w:val="1"/>
      <w:numFmt w:val="lowerLetter"/>
      <w:lvlText w:val="%1)"/>
      <w:lvlJc w:val="left"/>
      <w:pPr>
        <w:ind w:left="288" w:hanging="360"/>
      </w:pPr>
    </w:lvl>
    <w:lvl w:ilvl="1" w:tplc="04090017">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101">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2">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3">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8344DD9"/>
    <w:multiLevelType w:val="hybridMultilevel"/>
    <w:tmpl w:val="ACAA857E"/>
    <w:lvl w:ilvl="0" w:tplc="BCA0C5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7">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8">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0">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2">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5">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B10B18"/>
    <w:multiLevelType w:val="hybridMultilevel"/>
    <w:tmpl w:val="A1E6A4D2"/>
    <w:lvl w:ilvl="0" w:tplc="5964EB30">
      <w:start w:val="1"/>
      <w:numFmt w:val="bullet"/>
      <w:lvlText w:val=""/>
      <w:lvlJc w:val="left"/>
      <w:pPr>
        <w:ind w:left="642" w:hanging="360"/>
      </w:pPr>
      <w:rPr>
        <w:rFonts w:ascii="Symbol" w:hAnsi="Symbol" w:hint="default"/>
      </w:rPr>
    </w:lvl>
    <w:lvl w:ilvl="1" w:tplc="04090003" w:tentative="1">
      <w:start w:val="1"/>
      <w:numFmt w:val="bullet"/>
      <w:lvlText w:val="o"/>
      <w:lvlJc w:val="left"/>
      <w:pPr>
        <w:ind w:left="1362" w:hanging="360"/>
      </w:pPr>
      <w:rPr>
        <w:rFonts w:ascii="Courier New" w:hAnsi="Courier New" w:cs="Courier New" w:hint="default"/>
      </w:rPr>
    </w:lvl>
    <w:lvl w:ilvl="2" w:tplc="04090005" w:tentative="1">
      <w:start w:val="1"/>
      <w:numFmt w:val="bullet"/>
      <w:lvlText w:val=""/>
      <w:lvlJc w:val="left"/>
      <w:pPr>
        <w:ind w:left="2082" w:hanging="360"/>
      </w:pPr>
      <w:rPr>
        <w:rFonts w:ascii="Wingdings" w:hAnsi="Wingdings" w:hint="default"/>
      </w:rPr>
    </w:lvl>
    <w:lvl w:ilvl="3" w:tplc="04090001" w:tentative="1">
      <w:start w:val="1"/>
      <w:numFmt w:val="bullet"/>
      <w:lvlText w:val=""/>
      <w:lvlJc w:val="left"/>
      <w:pPr>
        <w:ind w:left="2802" w:hanging="360"/>
      </w:pPr>
      <w:rPr>
        <w:rFonts w:ascii="Symbol" w:hAnsi="Symbol" w:hint="default"/>
      </w:rPr>
    </w:lvl>
    <w:lvl w:ilvl="4" w:tplc="04090003" w:tentative="1">
      <w:start w:val="1"/>
      <w:numFmt w:val="bullet"/>
      <w:lvlText w:val="o"/>
      <w:lvlJc w:val="left"/>
      <w:pPr>
        <w:ind w:left="3522" w:hanging="360"/>
      </w:pPr>
      <w:rPr>
        <w:rFonts w:ascii="Courier New" w:hAnsi="Courier New" w:cs="Courier New" w:hint="default"/>
      </w:rPr>
    </w:lvl>
    <w:lvl w:ilvl="5" w:tplc="04090005" w:tentative="1">
      <w:start w:val="1"/>
      <w:numFmt w:val="bullet"/>
      <w:lvlText w:val=""/>
      <w:lvlJc w:val="left"/>
      <w:pPr>
        <w:ind w:left="4242" w:hanging="360"/>
      </w:pPr>
      <w:rPr>
        <w:rFonts w:ascii="Wingdings" w:hAnsi="Wingdings" w:hint="default"/>
      </w:rPr>
    </w:lvl>
    <w:lvl w:ilvl="6" w:tplc="04090001" w:tentative="1">
      <w:start w:val="1"/>
      <w:numFmt w:val="bullet"/>
      <w:lvlText w:val=""/>
      <w:lvlJc w:val="left"/>
      <w:pPr>
        <w:ind w:left="4962" w:hanging="360"/>
      </w:pPr>
      <w:rPr>
        <w:rFonts w:ascii="Symbol" w:hAnsi="Symbol" w:hint="default"/>
      </w:rPr>
    </w:lvl>
    <w:lvl w:ilvl="7" w:tplc="04090003" w:tentative="1">
      <w:start w:val="1"/>
      <w:numFmt w:val="bullet"/>
      <w:lvlText w:val="o"/>
      <w:lvlJc w:val="left"/>
      <w:pPr>
        <w:ind w:left="5682" w:hanging="360"/>
      </w:pPr>
      <w:rPr>
        <w:rFonts w:ascii="Courier New" w:hAnsi="Courier New" w:cs="Courier New" w:hint="default"/>
      </w:rPr>
    </w:lvl>
    <w:lvl w:ilvl="8" w:tplc="04090005" w:tentative="1">
      <w:start w:val="1"/>
      <w:numFmt w:val="bullet"/>
      <w:lvlText w:val=""/>
      <w:lvlJc w:val="left"/>
      <w:pPr>
        <w:ind w:left="6402" w:hanging="360"/>
      </w:pPr>
      <w:rPr>
        <w:rFonts w:ascii="Wingdings" w:hAnsi="Wingdings" w:hint="default"/>
      </w:rPr>
    </w:lvl>
  </w:abstractNum>
  <w:abstractNum w:abstractNumId="118">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9">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21">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2">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5">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8"/>
  </w:num>
  <w:num w:numId="2">
    <w:abstractNumId w:val="35"/>
  </w:num>
  <w:num w:numId="3">
    <w:abstractNumId w:val="71"/>
  </w:num>
  <w:num w:numId="4">
    <w:abstractNumId w:val="102"/>
  </w:num>
  <w:num w:numId="5">
    <w:abstractNumId w:val="101"/>
  </w:num>
  <w:num w:numId="6">
    <w:abstractNumId w:val="18"/>
  </w:num>
  <w:num w:numId="7">
    <w:abstractNumId w:val="91"/>
  </w:num>
  <w:num w:numId="8">
    <w:abstractNumId w:val="87"/>
  </w:num>
  <w:num w:numId="9">
    <w:abstractNumId w:val="1"/>
  </w:num>
  <w:num w:numId="10">
    <w:abstractNumId w:val="84"/>
  </w:num>
  <w:num w:numId="11">
    <w:abstractNumId w:val="20"/>
  </w:num>
  <w:num w:numId="12">
    <w:abstractNumId w:val="54"/>
  </w:num>
  <w:num w:numId="13">
    <w:abstractNumId w:val="43"/>
  </w:num>
  <w:num w:numId="14">
    <w:abstractNumId w:val="89"/>
  </w:num>
  <w:num w:numId="15">
    <w:abstractNumId w:val="104"/>
  </w:num>
  <w:num w:numId="16">
    <w:abstractNumId w:val="96"/>
  </w:num>
  <w:num w:numId="17">
    <w:abstractNumId w:val="34"/>
  </w:num>
  <w:num w:numId="18">
    <w:abstractNumId w:val="64"/>
  </w:num>
  <w:num w:numId="19">
    <w:abstractNumId w:val="10"/>
  </w:num>
  <w:num w:numId="20">
    <w:abstractNumId w:val="83"/>
  </w:num>
  <w:num w:numId="21">
    <w:abstractNumId w:val="81"/>
  </w:num>
  <w:num w:numId="22">
    <w:abstractNumId w:val="3"/>
  </w:num>
  <w:num w:numId="23">
    <w:abstractNumId w:val="45"/>
  </w:num>
  <w:num w:numId="24">
    <w:abstractNumId w:val="95"/>
  </w:num>
  <w:num w:numId="25">
    <w:abstractNumId w:val="52"/>
  </w:num>
  <w:num w:numId="26">
    <w:abstractNumId w:val="63"/>
  </w:num>
  <w:num w:numId="27">
    <w:abstractNumId w:val="8"/>
  </w:num>
  <w:num w:numId="28">
    <w:abstractNumId w:val="16"/>
  </w:num>
  <w:num w:numId="29">
    <w:abstractNumId w:val="120"/>
  </w:num>
  <w:num w:numId="30">
    <w:abstractNumId w:val="23"/>
  </w:num>
  <w:num w:numId="31">
    <w:abstractNumId w:val="41"/>
  </w:num>
  <w:num w:numId="32">
    <w:abstractNumId w:val="39"/>
  </w:num>
  <w:num w:numId="33">
    <w:abstractNumId w:val="127"/>
  </w:num>
  <w:num w:numId="34">
    <w:abstractNumId w:val="114"/>
  </w:num>
  <w:num w:numId="35">
    <w:abstractNumId w:val="75"/>
  </w:num>
  <w:num w:numId="36">
    <w:abstractNumId w:val="42"/>
  </w:num>
  <w:num w:numId="37">
    <w:abstractNumId w:val="111"/>
  </w:num>
  <w:num w:numId="38">
    <w:abstractNumId w:val="33"/>
  </w:num>
  <w:num w:numId="39">
    <w:abstractNumId w:val="86"/>
  </w:num>
  <w:num w:numId="40">
    <w:abstractNumId w:val="124"/>
  </w:num>
  <w:num w:numId="41">
    <w:abstractNumId w:val="109"/>
  </w:num>
  <w:num w:numId="42">
    <w:abstractNumId w:val="31"/>
  </w:num>
  <w:num w:numId="43">
    <w:abstractNumId w:val="12"/>
  </w:num>
  <w:num w:numId="44">
    <w:abstractNumId w:val="25"/>
  </w:num>
  <w:num w:numId="45">
    <w:abstractNumId w:val="125"/>
  </w:num>
  <w:num w:numId="46">
    <w:abstractNumId w:val="2"/>
  </w:num>
  <w:num w:numId="47">
    <w:abstractNumId w:val="49"/>
  </w:num>
  <w:num w:numId="48">
    <w:abstractNumId w:val="17"/>
  </w:num>
  <w:num w:numId="49">
    <w:abstractNumId w:val="11"/>
  </w:num>
  <w:num w:numId="50">
    <w:abstractNumId w:val="24"/>
  </w:num>
  <w:num w:numId="51">
    <w:abstractNumId w:val="122"/>
  </w:num>
  <w:num w:numId="52">
    <w:abstractNumId w:val="80"/>
  </w:num>
  <w:num w:numId="53">
    <w:abstractNumId w:val="97"/>
  </w:num>
  <w:num w:numId="54">
    <w:abstractNumId w:val="103"/>
  </w:num>
  <w:num w:numId="55">
    <w:abstractNumId w:val="85"/>
  </w:num>
  <w:num w:numId="56">
    <w:abstractNumId w:val="73"/>
  </w:num>
  <w:num w:numId="57">
    <w:abstractNumId w:val="74"/>
  </w:num>
  <w:num w:numId="58">
    <w:abstractNumId w:val="116"/>
  </w:num>
  <w:num w:numId="59">
    <w:abstractNumId w:val="107"/>
  </w:num>
  <w:num w:numId="60">
    <w:abstractNumId w:val="68"/>
  </w:num>
  <w:num w:numId="61">
    <w:abstractNumId w:val="15"/>
  </w:num>
  <w:num w:numId="62">
    <w:abstractNumId w:val="118"/>
  </w:num>
  <w:num w:numId="63">
    <w:abstractNumId w:val="77"/>
  </w:num>
  <w:num w:numId="64">
    <w:abstractNumId w:val="4"/>
  </w:num>
  <w:num w:numId="65">
    <w:abstractNumId w:val="67"/>
  </w:num>
  <w:num w:numId="66">
    <w:abstractNumId w:val="99"/>
  </w:num>
  <w:num w:numId="67">
    <w:abstractNumId w:val="7"/>
  </w:num>
  <w:num w:numId="68">
    <w:abstractNumId w:val="36"/>
  </w:num>
  <w:num w:numId="69">
    <w:abstractNumId w:val="38"/>
  </w:num>
  <w:num w:numId="70">
    <w:abstractNumId w:val="90"/>
  </w:num>
  <w:num w:numId="71">
    <w:abstractNumId w:val="61"/>
  </w:num>
  <w:num w:numId="72">
    <w:abstractNumId w:val="123"/>
  </w:num>
  <w:num w:numId="73">
    <w:abstractNumId w:val="57"/>
  </w:num>
  <w:num w:numId="74">
    <w:abstractNumId w:val="79"/>
  </w:num>
  <w:num w:numId="75">
    <w:abstractNumId w:val="60"/>
  </w:num>
  <w:num w:numId="76">
    <w:abstractNumId w:val="32"/>
  </w:num>
  <w:num w:numId="77">
    <w:abstractNumId w:val="72"/>
  </w:num>
  <w:num w:numId="78">
    <w:abstractNumId w:val="56"/>
  </w:num>
  <w:num w:numId="79">
    <w:abstractNumId w:val="58"/>
  </w:num>
  <w:num w:numId="80">
    <w:abstractNumId w:val="27"/>
  </w:num>
  <w:num w:numId="81">
    <w:abstractNumId w:val="19"/>
  </w:num>
  <w:num w:numId="82">
    <w:abstractNumId w:val="40"/>
  </w:num>
  <w:num w:numId="83">
    <w:abstractNumId w:val="50"/>
  </w:num>
  <w:num w:numId="84">
    <w:abstractNumId w:val="28"/>
  </w:num>
  <w:num w:numId="85">
    <w:abstractNumId w:val="126"/>
  </w:num>
  <w:num w:numId="86">
    <w:abstractNumId w:val="65"/>
  </w:num>
  <w:num w:numId="87">
    <w:abstractNumId w:val="9"/>
  </w:num>
  <w:num w:numId="88">
    <w:abstractNumId w:val="105"/>
  </w:num>
  <w:num w:numId="89">
    <w:abstractNumId w:val="112"/>
  </w:num>
  <w:num w:numId="90">
    <w:abstractNumId w:val="121"/>
  </w:num>
  <w:num w:numId="91">
    <w:abstractNumId w:val="26"/>
  </w:num>
  <w:num w:numId="92">
    <w:abstractNumId w:val="21"/>
  </w:num>
  <w:num w:numId="93">
    <w:abstractNumId w:val="0"/>
  </w:num>
  <w:num w:numId="94">
    <w:abstractNumId w:val="30"/>
  </w:num>
  <w:num w:numId="95">
    <w:abstractNumId w:val="113"/>
  </w:num>
  <w:num w:numId="96">
    <w:abstractNumId w:val="110"/>
  </w:num>
  <w:num w:numId="97">
    <w:abstractNumId w:val="66"/>
  </w:num>
  <w:num w:numId="98">
    <w:abstractNumId w:val="55"/>
  </w:num>
  <w:num w:numId="99">
    <w:abstractNumId w:val="94"/>
  </w:num>
  <w:num w:numId="100">
    <w:abstractNumId w:val="69"/>
  </w:num>
  <w:num w:numId="101">
    <w:abstractNumId w:val="88"/>
  </w:num>
  <w:num w:numId="102">
    <w:abstractNumId w:val="44"/>
  </w:num>
  <w:num w:numId="103">
    <w:abstractNumId w:val="82"/>
  </w:num>
  <w:num w:numId="104">
    <w:abstractNumId w:val="108"/>
  </w:num>
  <w:num w:numId="105">
    <w:abstractNumId w:val="6"/>
  </w:num>
  <w:num w:numId="106">
    <w:abstractNumId w:val="13"/>
  </w:num>
  <w:num w:numId="107">
    <w:abstractNumId w:val="29"/>
  </w:num>
  <w:num w:numId="108">
    <w:abstractNumId w:val="53"/>
  </w:num>
  <w:num w:numId="109">
    <w:abstractNumId w:val="115"/>
  </w:num>
  <w:num w:numId="110">
    <w:abstractNumId w:val="93"/>
  </w:num>
  <w:num w:numId="111">
    <w:abstractNumId w:val="62"/>
  </w:num>
  <w:num w:numId="112">
    <w:abstractNumId w:val="76"/>
  </w:num>
  <w:num w:numId="113">
    <w:abstractNumId w:val="37"/>
  </w:num>
  <w:num w:numId="114">
    <w:abstractNumId w:val="46"/>
  </w:num>
  <w:num w:numId="115">
    <w:abstractNumId w:val="119"/>
  </w:num>
  <w:num w:numId="116">
    <w:abstractNumId w:val="78"/>
  </w:num>
  <w:num w:numId="117">
    <w:abstractNumId w:val="47"/>
  </w:num>
  <w:num w:numId="118">
    <w:abstractNumId w:val="59"/>
  </w:num>
  <w:num w:numId="119">
    <w:abstractNumId w:val="98"/>
  </w:num>
  <w:num w:numId="120">
    <w:abstractNumId w:val="100"/>
  </w:num>
  <w:num w:numId="121">
    <w:abstractNumId w:val="117"/>
  </w:num>
  <w:num w:numId="122">
    <w:abstractNumId w:val="92"/>
  </w:num>
  <w:num w:numId="123">
    <w:abstractNumId w:val="51"/>
  </w:num>
  <w:num w:numId="124">
    <w:abstractNumId w:val="14"/>
  </w:num>
  <w:num w:numId="125">
    <w:abstractNumId w:val="22"/>
  </w:num>
  <w:num w:numId="126">
    <w:abstractNumId w:val="106"/>
  </w:num>
  <w:num w:numId="127">
    <w:abstractNumId w:val="5"/>
  </w:num>
  <w:num w:numId="128">
    <w:abstractNumId w:val="70"/>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16E43"/>
    <w:rsid w:val="00021A0A"/>
    <w:rsid w:val="000245AF"/>
    <w:rsid w:val="000249BC"/>
    <w:rsid w:val="00031F6B"/>
    <w:rsid w:val="00051217"/>
    <w:rsid w:val="00055D5E"/>
    <w:rsid w:val="00066B35"/>
    <w:rsid w:val="00070DE8"/>
    <w:rsid w:val="0007182B"/>
    <w:rsid w:val="00084569"/>
    <w:rsid w:val="000912A7"/>
    <w:rsid w:val="00092F6E"/>
    <w:rsid w:val="00097AA3"/>
    <w:rsid w:val="000A0153"/>
    <w:rsid w:val="000A4B56"/>
    <w:rsid w:val="000B0196"/>
    <w:rsid w:val="000E0655"/>
    <w:rsid w:val="000E54DA"/>
    <w:rsid w:val="000E75C5"/>
    <w:rsid w:val="000F0E72"/>
    <w:rsid w:val="0010454B"/>
    <w:rsid w:val="0010500F"/>
    <w:rsid w:val="0010663C"/>
    <w:rsid w:val="001101D3"/>
    <w:rsid w:val="00111ED5"/>
    <w:rsid w:val="00116508"/>
    <w:rsid w:val="00127D76"/>
    <w:rsid w:val="00136629"/>
    <w:rsid w:val="00145B5A"/>
    <w:rsid w:val="001504E9"/>
    <w:rsid w:val="00154ECC"/>
    <w:rsid w:val="00155A9D"/>
    <w:rsid w:val="00156296"/>
    <w:rsid w:val="00160C58"/>
    <w:rsid w:val="001665D0"/>
    <w:rsid w:val="00166606"/>
    <w:rsid w:val="001870CA"/>
    <w:rsid w:val="001871F6"/>
    <w:rsid w:val="001A0336"/>
    <w:rsid w:val="001B1FBA"/>
    <w:rsid w:val="001B699D"/>
    <w:rsid w:val="001C2F88"/>
    <w:rsid w:val="001C79B0"/>
    <w:rsid w:val="001E6566"/>
    <w:rsid w:val="001F378E"/>
    <w:rsid w:val="00201475"/>
    <w:rsid w:val="00211245"/>
    <w:rsid w:val="002253E0"/>
    <w:rsid w:val="00227A12"/>
    <w:rsid w:val="002329E5"/>
    <w:rsid w:val="002379E3"/>
    <w:rsid w:val="00251264"/>
    <w:rsid w:val="00261E27"/>
    <w:rsid w:val="00263B3A"/>
    <w:rsid w:val="0026673D"/>
    <w:rsid w:val="00283843"/>
    <w:rsid w:val="00295A93"/>
    <w:rsid w:val="002C0FE6"/>
    <w:rsid w:val="002C5C49"/>
    <w:rsid w:val="002D5DB5"/>
    <w:rsid w:val="002E19FF"/>
    <w:rsid w:val="002F5A31"/>
    <w:rsid w:val="00303FA4"/>
    <w:rsid w:val="00306697"/>
    <w:rsid w:val="003078A5"/>
    <w:rsid w:val="003257CC"/>
    <w:rsid w:val="00332386"/>
    <w:rsid w:val="0034452C"/>
    <w:rsid w:val="0034742F"/>
    <w:rsid w:val="003478E8"/>
    <w:rsid w:val="0035567C"/>
    <w:rsid w:val="00356712"/>
    <w:rsid w:val="00361BF8"/>
    <w:rsid w:val="00364829"/>
    <w:rsid w:val="00366E6F"/>
    <w:rsid w:val="00370577"/>
    <w:rsid w:val="00381F84"/>
    <w:rsid w:val="003B6685"/>
    <w:rsid w:val="003E7D1C"/>
    <w:rsid w:val="0040111C"/>
    <w:rsid w:val="00404652"/>
    <w:rsid w:val="00405AF5"/>
    <w:rsid w:val="00412C1C"/>
    <w:rsid w:val="00442A69"/>
    <w:rsid w:val="004458DA"/>
    <w:rsid w:val="004637D6"/>
    <w:rsid w:val="004643F6"/>
    <w:rsid w:val="00473016"/>
    <w:rsid w:val="004762D8"/>
    <w:rsid w:val="004872D8"/>
    <w:rsid w:val="0049178D"/>
    <w:rsid w:val="004A65F1"/>
    <w:rsid w:val="004A6862"/>
    <w:rsid w:val="004B558F"/>
    <w:rsid w:val="004D47F8"/>
    <w:rsid w:val="004F2F2E"/>
    <w:rsid w:val="005014B0"/>
    <w:rsid w:val="00524709"/>
    <w:rsid w:val="005320D2"/>
    <w:rsid w:val="00550ACE"/>
    <w:rsid w:val="00561949"/>
    <w:rsid w:val="00566C24"/>
    <w:rsid w:val="00573941"/>
    <w:rsid w:val="00575C46"/>
    <w:rsid w:val="00586E9C"/>
    <w:rsid w:val="00590926"/>
    <w:rsid w:val="00593F1A"/>
    <w:rsid w:val="00595187"/>
    <w:rsid w:val="00595CA2"/>
    <w:rsid w:val="005D3D05"/>
    <w:rsid w:val="005D582A"/>
    <w:rsid w:val="005D5E1A"/>
    <w:rsid w:val="005E5CDA"/>
    <w:rsid w:val="005F07AC"/>
    <w:rsid w:val="005F13E0"/>
    <w:rsid w:val="005F4F23"/>
    <w:rsid w:val="00603874"/>
    <w:rsid w:val="006044F0"/>
    <w:rsid w:val="006566F8"/>
    <w:rsid w:val="00656E3A"/>
    <w:rsid w:val="00664591"/>
    <w:rsid w:val="006700E1"/>
    <w:rsid w:val="0067585F"/>
    <w:rsid w:val="00677A21"/>
    <w:rsid w:val="00684DEA"/>
    <w:rsid w:val="00693DA8"/>
    <w:rsid w:val="00696592"/>
    <w:rsid w:val="006A110B"/>
    <w:rsid w:val="006B58BF"/>
    <w:rsid w:val="006C2B40"/>
    <w:rsid w:val="006D4DA3"/>
    <w:rsid w:val="006E1392"/>
    <w:rsid w:val="006E16F4"/>
    <w:rsid w:val="006F4BBF"/>
    <w:rsid w:val="007020B1"/>
    <w:rsid w:val="00703D2C"/>
    <w:rsid w:val="00707DAA"/>
    <w:rsid w:val="00714677"/>
    <w:rsid w:val="00724DA4"/>
    <w:rsid w:val="00727A8C"/>
    <w:rsid w:val="007303D3"/>
    <w:rsid w:val="00732809"/>
    <w:rsid w:val="00743045"/>
    <w:rsid w:val="007608AF"/>
    <w:rsid w:val="00765CF3"/>
    <w:rsid w:val="0077120B"/>
    <w:rsid w:val="0078062D"/>
    <w:rsid w:val="00796031"/>
    <w:rsid w:val="007A1A29"/>
    <w:rsid w:val="007A6C9F"/>
    <w:rsid w:val="007C1EED"/>
    <w:rsid w:val="007D1A74"/>
    <w:rsid w:val="007D5A53"/>
    <w:rsid w:val="007D6C88"/>
    <w:rsid w:val="0080159A"/>
    <w:rsid w:val="008247FA"/>
    <w:rsid w:val="00841C0C"/>
    <w:rsid w:val="00866D5B"/>
    <w:rsid w:val="00866DDD"/>
    <w:rsid w:val="00880509"/>
    <w:rsid w:val="0088082E"/>
    <w:rsid w:val="00892DB3"/>
    <w:rsid w:val="008A28E5"/>
    <w:rsid w:val="008B04F0"/>
    <w:rsid w:val="008B61E4"/>
    <w:rsid w:val="008E12DE"/>
    <w:rsid w:val="008E471B"/>
    <w:rsid w:val="009070F6"/>
    <w:rsid w:val="00916DA3"/>
    <w:rsid w:val="009250FD"/>
    <w:rsid w:val="00932991"/>
    <w:rsid w:val="0093716A"/>
    <w:rsid w:val="00937B32"/>
    <w:rsid w:val="00940821"/>
    <w:rsid w:val="009416DA"/>
    <w:rsid w:val="00943EF1"/>
    <w:rsid w:val="009477B8"/>
    <w:rsid w:val="00984FDD"/>
    <w:rsid w:val="009865B8"/>
    <w:rsid w:val="00997033"/>
    <w:rsid w:val="009A536D"/>
    <w:rsid w:val="009B567F"/>
    <w:rsid w:val="009C3201"/>
    <w:rsid w:val="009F2D74"/>
    <w:rsid w:val="00A038A5"/>
    <w:rsid w:val="00A0449E"/>
    <w:rsid w:val="00A07FDF"/>
    <w:rsid w:val="00A428E0"/>
    <w:rsid w:val="00A54D16"/>
    <w:rsid w:val="00A54FF0"/>
    <w:rsid w:val="00A55508"/>
    <w:rsid w:val="00A55BD5"/>
    <w:rsid w:val="00A65013"/>
    <w:rsid w:val="00A80AAA"/>
    <w:rsid w:val="00A86A69"/>
    <w:rsid w:val="00A93060"/>
    <w:rsid w:val="00AC0CE7"/>
    <w:rsid w:val="00AC21C9"/>
    <w:rsid w:val="00AC3076"/>
    <w:rsid w:val="00AD2FD0"/>
    <w:rsid w:val="00AD65B3"/>
    <w:rsid w:val="00AD67F8"/>
    <w:rsid w:val="00AE77B7"/>
    <w:rsid w:val="00AF20CA"/>
    <w:rsid w:val="00AF33D0"/>
    <w:rsid w:val="00AF3740"/>
    <w:rsid w:val="00B00A85"/>
    <w:rsid w:val="00B00AB5"/>
    <w:rsid w:val="00B0353E"/>
    <w:rsid w:val="00B06DF7"/>
    <w:rsid w:val="00B11684"/>
    <w:rsid w:val="00B23D09"/>
    <w:rsid w:val="00B24AAC"/>
    <w:rsid w:val="00B41B20"/>
    <w:rsid w:val="00B432E3"/>
    <w:rsid w:val="00B43418"/>
    <w:rsid w:val="00B45D47"/>
    <w:rsid w:val="00B4760A"/>
    <w:rsid w:val="00B70CF9"/>
    <w:rsid w:val="00B85BC2"/>
    <w:rsid w:val="00B87717"/>
    <w:rsid w:val="00B9663A"/>
    <w:rsid w:val="00BA0D8A"/>
    <w:rsid w:val="00BA13FB"/>
    <w:rsid w:val="00BB336D"/>
    <w:rsid w:val="00BC0559"/>
    <w:rsid w:val="00BD3845"/>
    <w:rsid w:val="00BD4FC6"/>
    <w:rsid w:val="00BF4EF4"/>
    <w:rsid w:val="00C05C69"/>
    <w:rsid w:val="00C06C54"/>
    <w:rsid w:val="00C10ECD"/>
    <w:rsid w:val="00C21687"/>
    <w:rsid w:val="00C35AE7"/>
    <w:rsid w:val="00C432AC"/>
    <w:rsid w:val="00C5487D"/>
    <w:rsid w:val="00C71DB6"/>
    <w:rsid w:val="00CD3C65"/>
    <w:rsid w:val="00CE3F5A"/>
    <w:rsid w:val="00D13635"/>
    <w:rsid w:val="00D20882"/>
    <w:rsid w:val="00D2529F"/>
    <w:rsid w:val="00D325E7"/>
    <w:rsid w:val="00D349EB"/>
    <w:rsid w:val="00D43A91"/>
    <w:rsid w:val="00D64E64"/>
    <w:rsid w:val="00D72014"/>
    <w:rsid w:val="00D7246E"/>
    <w:rsid w:val="00D800F7"/>
    <w:rsid w:val="00D870A4"/>
    <w:rsid w:val="00DA74C0"/>
    <w:rsid w:val="00DB0112"/>
    <w:rsid w:val="00DB2342"/>
    <w:rsid w:val="00DB682C"/>
    <w:rsid w:val="00DF620B"/>
    <w:rsid w:val="00E02C64"/>
    <w:rsid w:val="00E129D0"/>
    <w:rsid w:val="00E374A6"/>
    <w:rsid w:val="00E517A2"/>
    <w:rsid w:val="00E54414"/>
    <w:rsid w:val="00E62191"/>
    <w:rsid w:val="00E835E8"/>
    <w:rsid w:val="00E861B6"/>
    <w:rsid w:val="00E90183"/>
    <w:rsid w:val="00E96507"/>
    <w:rsid w:val="00EA016E"/>
    <w:rsid w:val="00EB5CAF"/>
    <w:rsid w:val="00EC40EA"/>
    <w:rsid w:val="00EC741A"/>
    <w:rsid w:val="00ED24F6"/>
    <w:rsid w:val="00EE7F4F"/>
    <w:rsid w:val="00F04F8F"/>
    <w:rsid w:val="00F44E46"/>
    <w:rsid w:val="00F747A7"/>
    <w:rsid w:val="00F8324A"/>
    <w:rsid w:val="00F83979"/>
    <w:rsid w:val="00F93C4E"/>
    <w:rsid w:val="00F97EF3"/>
    <w:rsid w:val="00FB2567"/>
    <w:rsid w:val="00FB3F53"/>
    <w:rsid w:val="00FB5AE5"/>
    <w:rsid w:val="00FD08B1"/>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1208A-D7DA-4A4E-9BA9-EC61F174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2668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2014-10-30T18:57:00Z</dcterms:created>
  <dcterms:modified xsi:type="dcterms:W3CDTF">2014-10-30T18:57:00Z</dcterms:modified>
</cp:coreProperties>
</file>