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67" w:type="dxa"/>
        <w:tblInd w:w="-212" w:type="dxa"/>
        <w:tblLayout w:type="fixed"/>
        <w:tblCellMar>
          <w:left w:w="72" w:type="dxa"/>
          <w:right w:w="72" w:type="dxa"/>
        </w:tblCellMar>
        <w:tblLook w:val="0000" w:firstRow="0" w:lastRow="0" w:firstColumn="0" w:lastColumn="0" w:noHBand="0" w:noVBand="0"/>
      </w:tblPr>
      <w:tblGrid>
        <w:gridCol w:w="8648"/>
        <w:gridCol w:w="1134"/>
        <w:gridCol w:w="585"/>
      </w:tblGrid>
      <w:tr w:rsidR="00DB682C" w:rsidRPr="00B23FB1" w:rsidTr="007468FD">
        <w:trPr>
          <w:trHeight w:val="20"/>
        </w:trPr>
        <w:tc>
          <w:tcPr>
            <w:tcW w:w="8648" w:type="dxa"/>
          </w:tcPr>
          <w:p w:rsidR="009D5383" w:rsidRPr="00B23FB1" w:rsidRDefault="00DB682C" w:rsidP="00B23FB1">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B23FB1">
              <w:rPr>
                <w:rFonts w:ascii="Times New Roman" w:hAnsi="Times New Roman" w:cs="Times New Roman"/>
                <w:b/>
                <w:sz w:val="26"/>
                <w:szCs w:val="26"/>
              </w:rPr>
              <w:t xml:space="preserve">A-3 </w:t>
            </w:r>
            <w:r w:rsidR="00D64888" w:rsidRPr="00B23FB1">
              <w:rPr>
                <w:rFonts w:ascii="Times New Roman" w:hAnsi="Times New Roman" w:cs="Times New Roman"/>
                <w:b/>
                <w:sz w:val="26"/>
                <w:szCs w:val="26"/>
                <w:u w:val="single"/>
              </w:rPr>
              <w:t>APLICACI</w:t>
            </w:r>
            <w:r w:rsidR="003B1C4E" w:rsidRPr="00B23FB1">
              <w:rPr>
                <w:rFonts w:ascii="Times New Roman" w:hAnsi="Times New Roman" w:cs="Times New Roman"/>
                <w:b/>
                <w:sz w:val="26"/>
                <w:szCs w:val="26"/>
                <w:u w:val="single"/>
              </w:rPr>
              <w:t>Ó</w:t>
            </w:r>
            <w:r w:rsidR="00D64888" w:rsidRPr="00B23FB1">
              <w:rPr>
                <w:rFonts w:ascii="Times New Roman" w:hAnsi="Times New Roman" w:cs="Times New Roman"/>
                <w:b/>
                <w:sz w:val="26"/>
                <w:szCs w:val="26"/>
                <w:u w:val="single"/>
              </w:rPr>
              <w:t>N DE NORMAS GENERALES</w:t>
            </w:r>
          </w:p>
          <w:p w:rsidR="007468FD" w:rsidRPr="00B23FB1" w:rsidRDefault="007468FD" w:rsidP="00D271C1">
            <w:pPr>
              <w:pStyle w:val="Texto"/>
              <w:spacing w:after="0" w:line="240" w:lineRule="auto"/>
              <w:ind w:firstLine="0"/>
              <w:contextualSpacing/>
              <w:jc w:val="center"/>
              <w:rPr>
                <w:rFonts w:ascii="Times New Roman" w:hAnsi="Times New Roman" w:cs="Times New Roman"/>
                <w:b/>
                <w:sz w:val="26"/>
                <w:szCs w:val="26"/>
                <w:u w:val="single"/>
              </w:rPr>
            </w:pPr>
          </w:p>
          <w:p w:rsidR="009D5383" w:rsidRPr="00B23FB1" w:rsidRDefault="00D64888" w:rsidP="00B23FB1">
            <w:pPr>
              <w:pStyle w:val="Texto"/>
              <w:spacing w:after="0" w:line="240" w:lineRule="auto"/>
              <w:ind w:firstLine="0"/>
              <w:contextualSpacing/>
              <w:jc w:val="left"/>
              <w:rPr>
                <w:rFonts w:ascii="Times New Roman" w:hAnsi="Times New Roman" w:cs="Times New Roman"/>
                <w:b/>
                <w:sz w:val="26"/>
                <w:szCs w:val="26"/>
              </w:rPr>
            </w:pPr>
            <w:r w:rsidRPr="00B23FB1">
              <w:rPr>
                <w:rFonts w:ascii="Times New Roman" w:hAnsi="Times New Roman" w:cs="Times New Roman"/>
                <w:b/>
                <w:sz w:val="26"/>
                <w:szCs w:val="26"/>
              </w:rPr>
              <w:t>Objetivo y alcance</w:t>
            </w:r>
          </w:p>
          <w:p w:rsidR="007468FD" w:rsidRPr="00B23FB1" w:rsidRDefault="007468FD" w:rsidP="00D271C1">
            <w:pPr>
              <w:pStyle w:val="Texto"/>
              <w:spacing w:after="0" w:line="240" w:lineRule="auto"/>
              <w:ind w:firstLine="0"/>
              <w:contextualSpacing/>
              <w:jc w:val="left"/>
              <w:rPr>
                <w:rFonts w:ascii="Times New Roman" w:hAnsi="Times New Roman" w:cs="Times New Roman"/>
                <w:sz w:val="26"/>
                <w:szCs w:val="26"/>
              </w:rPr>
            </w:pPr>
          </w:p>
        </w:tc>
        <w:tc>
          <w:tcPr>
            <w:tcW w:w="1719" w:type="dxa"/>
            <w:gridSpan w:val="2"/>
          </w:tcPr>
          <w:p w:rsidR="00C77912" w:rsidRPr="00B23FB1" w:rsidRDefault="00C77912" w:rsidP="00B23FB1">
            <w:pPr>
              <w:pStyle w:val="Texto"/>
              <w:tabs>
                <w:tab w:val="left" w:pos="624"/>
              </w:tabs>
              <w:spacing w:after="0" w:line="240" w:lineRule="auto"/>
              <w:ind w:left="360" w:right="372" w:firstLine="0"/>
              <w:contextualSpacing/>
              <w:jc w:val="left"/>
              <w:rPr>
                <w:rFonts w:ascii="Times New Roman" w:hAnsi="Times New Roman" w:cs="Times New Roman"/>
                <w:sz w:val="20"/>
              </w:rPr>
            </w:pPr>
          </w:p>
        </w:tc>
      </w:tr>
      <w:tr w:rsidR="00DB682C" w:rsidRPr="00B23FB1" w:rsidTr="007468FD">
        <w:trPr>
          <w:trHeight w:val="20"/>
        </w:trPr>
        <w:tc>
          <w:tcPr>
            <w:tcW w:w="8648" w:type="dxa"/>
          </w:tcPr>
          <w:p w:rsidR="00DB682C"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El presente criterio tiene por objetivo precisar el establecimiento de normas de aplicación general que las entidades deberán observar</w:t>
            </w:r>
            <w:r w:rsidR="00A73C5B" w:rsidRPr="00B23FB1">
              <w:rPr>
                <w:rFonts w:ascii="Times New Roman" w:hAnsi="Times New Roman" w:cs="Times New Roman"/>
                <w:sz w:val="26"/>
                <w:szCs w:val="26"/>
              </w:rPr>
              <w:t>.</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tabs>
                <w:tab w:val="left" w:pos="126"/>
              </w:tabs>
              <w:spacing w:after="0" w:line="240" w:lineRule="auto"/>
              <w:ind w:right="372"/>
              <w:contextualSpacing/>
              <w:jc w:val="left"/>
              <w:rPr>
                <w:rFonts w:ascii="Times New Roman" w:hAnsi="Times New Roman" w:cs="Times New Roman"/>
                <w:sz w:val="20"/>
              </w:rPr>
            </w:pPr>
          </w:p>
        </w:tc>
      </w:tr>
      <w:tr w:rsidR="00DB682C" w:rsidRPr="00B23FB1" w:rsidTr="007468FD">
        <w:trPr>
          <w:trHeight w:val="20"/>
        </w:trPr>
        <w:tc>
          <w:tcPr>
            <w:tcW w:w="8648" w:type="dxa"/>
          </w:tcPr>
          <w:p w:rsidR="00DB682C"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Son materia del presente criterio el establecimiento de normas generales que deben ser consideradas en el reconocimiento, valuación, presentación y revelación aplicables para los criterios de contabilidad para sociedades financieras populares</w:t>
            </w:r>
            <w:r w:rsidR="00DA5290">
              <w:rPr>
                <w:rFonts w:ascii="Times New Roman" w:hAnsi="Times New Roman" w:cs="Times New Roman"/>
                <w:sz w:val="26"/>
                <w:szCs w:val="26"/>
              </w:rPr>
              <w:t>, sociedades financieras</w:t>
            </w:r>
            <w:r w:rsidRPr="00B23FB1">
              <w:rPr>
                <w:rFonts w:ascii="Times New Roman" w:hAnsi="Times New Roman" w:cs="Times New Roman"/>
                <w:sz w:val="28"/>
                <w:szCs w:val="26"/>
              </w:rPr>
              <w:t xml:space="preserve"> </w:t>
            </w:r>
            <w:r w:rsidRPr="00B23FB1">
              <w:rPr>
                <w:rFonts w:ascii="Times New Roman" w:hAnsi="Times New Roman" w:cs="Times New Roman"/>
                <w:sz w:val="26"/>
                <w:szCs w:val="26"/>
              </w:rPr>
              <w:t>comunitarias</w:t>
            </w:r>
            <w:r w:rsidR="00DA5290">
              <w:rPr>
                <w:rFonts w:ascii="Times New Roman" w:hAnsi="Times New Roman" w:cs="Times New Roman"/>
                <w:sz w:val="26"/>
                <w:szCs w:val="26"/>
              </w:rPr>
              <w:t xml:space="preserve"> y</w:t>
            </w:r>
            <w:r w:rsidRPr="00B23FB1">
              <w:rPr>
                <w:rFonts w:ascii="Times New Roman" w:hAnsi="Times New Roman" w:cs="Times New Roman"/>
                <w:sz w:val="26"/>
                <w:szCs w:val="26"/>
              </w:rPr>
              <w:t xml:space="preserve"> organismos de integración financiera rural.</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DB682C" w:rsidRPr="00B23FB1" w:rsidRDefault="00D64888"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Activos restringidos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tabs>
                <w:tab w:val="left" w:pos="126"/>
              </w:tabs>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Se considera como tales a todos aquellos activos respecto de los que existen circunstancias por las cuales no se puede </w:t>
            </w:r>
            <w:r w:rsidR="001F5470" w:rsidRPr="00B23FB1">
              <w:rPr>
                <w:rFonts w:ascii="Times New Roman" w:hAnsi="Times New Roman" w:cs="Times New Roman"/>
                <w:sz w:val="26"/>
                <w:szCs w:val="26"/>
              </w:rPr>
              <w:t>disponer o hacer uso de ellos, debiendo permanecer en el mismo rubro del cual se originan.</w:t>
            </w:r>
            <w:r w:rsidR="00970819" w:rsidRPr="00B23FB1">
              <w:rPr>
                <w:rFonts w:ascii="Times New Roman" w:hAnsi="Times New Roman" w:cs="Times New Roman"/>
                <w:sz w:val="26"/>
                <w:szCs w:val="26"/>
              </w:rPr>
              <w:t xml:space="preserve"> Asimismo se considerará que forman parte de esta categoría, aquellos activos provenientes de operaciones que no se liquiden el mismo día, es decir se reciban con fecha valor distinta a la de concertación.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tabs>
                <w:tab w:val="left" w:pos="126"/>
              </w:tabs>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Para este tipo de activos, se deberá revelar en una nota a los estados financieros este hecho y el saldo de los mismos por tipo de operación.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7D6C88" w:rsidRPr="00B23FB1" w:rsidRDefault="009D5383"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Bienes prometidos en venta o con reserva de dominio</w:t>
            </w:r>
          </w:p>
          <w:p w:rsidR="007468FD" w:rsidRPr="00B23FB1" w:rsidRDefault="007468FD" w:rsidP="00D271C1">
            <w:pPr>
              <w:pStyle w:val="Texto"/>
              <w:spacing w:after="0" w:line="240" w:lineRule="auto"/>
              <w:ind w:firstLine="0"/>
              <w:contextualSpacing/>
              <w:rPr>
                <w:rFonts w:ascii="Times New Roman" w:hAnsi="Times New Roman" w:cs="Times New Roman"/>
                <w:b/>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2C5C49"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En los casos en que se celebre un contrato de promesa de venta o de compraventa con reserva de dominio, el bien deberá reconocerse como restringido, de acuerdo al tipo de bien de que se trate, al mismo valor en libros que tuviera a la fecha de la firma de dicho contrato, aún y cuando se haya pactado a un precio de venta superior al mismo. Dicho bien seguirá las mismas normas de valuación, presentación y revelación, de conformidad con los criterios de contabilidad para </w:t>
            </w:r>
            <w:r w:rsidR="001B2C1C" w:rsidRPr="00B23FB1">
              <w:rPr>
                <w:rFonts w:ascii="Times New Roman" w:hAnsi="Times New Roman" w:cs="Times New Roman"/>
                <w:sz w:val="26"/>
                <w:szCs w:val="26"/>
              </w:rPr>
              <w:t>sociedades financieras populares</w:t>
            </w:r>
            <w:r w:rsidR="00DA5290">
              <w:rPr>
                <w:rFonts w:ascii="Times New Roman" w:hAnsi="Times New Roman" w:cs="Times New Roman"/>
                <w:sz w:val="26"/>
                <w:szCs w:val="26"/>
              </w:rPr>
              <w:t>, sociedades financieras</w:t>
            </w:r>
            <w:r w:rsidR="001B2C1C" w:rsidRPr="00B23FB1">
              <w:rPr>
                <w:rFonts w:ascii="Times New Roman" w:hAnsi="Times New Roman" w:cs="Times New Roman"/>
                <w:sz w:val="26"/>
                <w:szCs w:val="26"/>
              </w:rPr>
              <w:t xml:space="preserve"> comunitarias</w:t>
            </w:r>
            <w:r w:rsidR="00DA5290">
              <w:rPr>
                <w:rFonts w:ascii="Times New Roman" w:hAnsi="Times New Roman" w:cs="Times New Roman"/>
                <w:sz w:val="26"/>
                <w:szCs w:val="26"/>
              </w:rPr>
              <w:t xml:space="preserve"> y</w:t>
            </w:r>
            <w:r w:rsidR="001B2C1C" w:rsidRPr="00B23FB1">
              <w:rPr>
                <w:rFonts w:ascii="Times New Roman" w:hAnsi="Times New Roman" w:cs="Times New Roman"/>
                <w:sz w:val="26"/>
                <w:szCs w:val="26"/>
              </w:rPr>
              <w:t xml:space="preserve"> organismos de integración financiera rural, </w:t>
            </w:r>
            <w:r w:rsidRPr="00B23FB1">
              <w:rPr>
                <w:rFonts w:ascii="Times New Roman" w:hAnsi="Times New Roman" w:cs="Times New Roman"/>
                <w:sz w:val="26"/>
                <w:szCs w:val="26"/>
              </w:rPr>
              <w:t>que le correspondan.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Los cobros que se reciban a cuenta del bien se registrarán en el pasivo como un cobro anticipado.</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2C5C49"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En la fecha en que se enajene el bien prometido en venta o de compraventa con reserva de dominio, se deberá reconocer en los resultados del ejercicio como otros </w:t>
            </w:r>
            <w:r w:rsidR="00562FDE" w:rsidRPr="00B23FB1">
              <w:rPr>
                <w:rFonts w:ascii="Times New Roman" w:hAnsi="Times New Roman" w:cs="Times New Roman"/>
                <w:sz w:val="26"/>
                <w:szCs w:val="26"/>
              </w:rPr>
              <w:t>ingresos (egresos) de la operación</w:t>
            </w:r>
            <w:r w:rsidRPr="00B23FB1">
              <w:rPr>
                <w:rFonts w:ascii="Times New Roman" w:hAnsi="Times New Roman" w:cs="Times New Roman"/>
                <w:sz w:val="26"/>
                <w:szCs w:val="26"/>
              </w:rPr>
              <w:t xml:space="preserve"> la utilidad o pérdida generada.</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lastRenderedPageBreak/>
              <w:t xml:space="preserve">En el evento de que el contrato se rescinda, el bien dejará de reconocerse como restringido y aquellos cobros anticipados sobre los que la entidad pueda disponer o deba liquidar de acuerdo con las condiciones del contrato, se reconocerán en los resultados del ejercicio como otros </w:t>
            </w:r>
            <w:r w:rsidR="00562FDE" w:rsidRPr="00B23FB1">
              <w:rPr>
                <w:rFonts w:ascii="Times New Roman" w:hAnsi="Times New Roman" w:cs="Times New Roman"/>
                <w:sz w:val="26"/>
                <w:szCs w:val="26"/>
              </w:rPr>
              <w:t>ingresos (egresos) de la operación</w:t>
            </w:r>
            <w:r w:rsidRPr="00B23FB1">
              <w:rPr>
                <w:rFonts w:ascii="Times New Roman" w:hAnsi="Times New Roman" w:cs="Times New Roman"/>
                <w:sz w:val="26"/>
                <w:szCs w:val="26"/>
              </w:rPr>
              <w:t>, o bien como otras cuentas por pagar, según corresponda.</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7D6C88" w:rsidRPr="00B23FB1" w:rsidRDefault="009D5383"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Cuentas liquidadoras</w:t>
            </w:r>
          </w:p>
          <w:p w:rsidR="007468FD" w:rsidRPr="00B23FB1" w:rsidRDefault="007468FD" w:rsidP="00D271C1">
            <w:pPr>
              <w:pStyle w:val="Texto"/>
              <w:spacing w:after="0" w:line="240" w:lineRule="auto"/>
              <w:ind w:firstLine="0"/>
              <w:contextualSpacing/>
              <w:rPr>
                <w:rFonts w:ascii="Times New Roman" w:hAnsi="Times New Roman" w:cs="Times New Roman"/>
                <w:b/>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B00A85"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Tratándose de </w:t>
            </w:r>
            <w:r w:rsidR="009D5383" w:rsidRPr="00B23FB1">
              <w:rPr>
                <w:rFonts w:ascii="Times New Roman" w:hAnsi="Times New Roman" w:cs="Times New Roman"/>
                <w:sz w:val="26"/>
                <w:szCs w:val="26"/>
              </w:rPr>
              <w:t>las</w:t>
            </w:r>
            <w:r w:rsidR="00E04A32" w:rsidRPr="00B23FB1">
              <w:rPr>
                <w:rFonts w:ascii="Times New Roman" w:hAnsi="Times New Roman" w:cs="Times New Roman"/>
                <w:sz w:val="26"/>
                <w:szCs w:val="26"/>
              </w:rPr>
              <w:t xml:space="preserve"> </w:t>
            </w:r>
            <w:r w:rsidRPr="00B23FB1">
              <w:rPr>
                <w:rFonts w:ascii="Times New Roman" w:hAnsi="Times New Roman" w:cs="Times New Roman"/>
                <w:sz w:val="26"/>
                <w:szCs w:val="26"/>
              </w:rPr>
              <w:t xml:space="preserve">operaciones </w:t>
            </w:r>
            <w:r w:rsidR="009D5383" w:rsidRPr="00B23FB1">
              <w:rPr>
                <w:rFonts w:ascii="Times New Roman" w:hAnsi="Times New Roman" w:cs="Times New Roman"/>
                <w:sz w:val="26"/>
                <w:szCs w:val="26"/>
              </w:rPr>
              <w:t>activas y pasivas</w:t>
            </w:r>
            <w:r w:rsidR="00E04A32" w:rsidRPr="00B23FB1">
              <w:rPr>
                <w:rFonts w:ascii="Times New Roman" w:hAnsi="Times New Roman" w:cs="Times New Roman"/>
                <w:sz w:val="26"/>
                <w:szCs w:val="26"/>
              </w:rPr>
              <w:t xml:space="preserve"> </w:t>
            </w:r>
            <w:r w:rsidRPr="00B23FB1">
              <w:rPr>
                <w:rFonts w:ascii="Times New Roman" w:hAnsi="Times New Roman" w:cs="Times New Roman"/>
                <w:sz w:val="26"/>
                <w:szCs w:val="26"/>
              </w:rPr>
              <w:t>que realicen las entidades</w:t>
            </w:r>
            <w:r w:rsidR="009D5383" w:rsidRPr="00B23FB1">
              <w:rPr>
                <w:rFonts w:ascii="Times New Roman" w:hAnsi="Times New Roman" w:cs="Times New Roman"/>
                <w:sz w:val="26"/>
                <w:szCs w:val="26"/>
              </w:rPr>
              <w:t>, por ejemplo,</w:t>
            </w:r>
            <w:r w:rsidRPr="00B23FB1">
              <w:rPr>
                <w:rFonts w:ascii="Times New Roman" w:hAnsi="Times New Roman" w:cs="Times New Roman"/>
                <w:sz w:val="26"/>
                <w:szCs w:val="26"/>
              </w:rPr>
              <w:t xml:space="preserve"> en materia de inversiones en valores</w:t>
            </w:r>
            <w:r w:rsidR="000F4168" w:rsidRPr="00B23FB1">
              <w:rPr>
                <w:rFonts w:ascii="Times New Roman" w:hAnsi="Times New Roman" w:cs="Times New Roman"/>
                <w:sz w:val="26"/>
                <w:szCs w:val="26"/>
              </w:rPr>
              <w:t xml:space="preserve"> </w:t>
            </w:r>
            <w:r w:rsidR="009D5383" w:rsidRPr="00B23FB1">
              <w:rPr>
                <w:rFonts w:ascii="Times New Roman" w:hAnsi="Times New Roman" w:cs="Times New Roman"/>
                <w:sz w:val="26"/>
                <w:szCs w:val="26"/>
              </w:rPr>
              <w:t>y reportos</w:t>
            </w:r>
            <w:r w:rsidRPr="00B23FB1">
              <w:rPr>
                <w:rFonts w:ascii="Times New Roman" w:hAnsi="Times New Roman" w:cs="Times New Roman"/>
                <w:sz w:val="26"/>
                <w:szCs w:val="26"/>
              </w:rPr>
              <w:t xml:space="preserve">, una vez que </w:t>
            </w:r>
            <w:r w:rsidR="00451A5E" w:rsidRPr="00B23FB1">
              <w:rPr>
                <w:rFonts w:ascii="Times New Roman" w:hAnsi="Times New Roman" w:cs="Times New Roman"/>
                <w:sz w:val="26"/>
                <w:szCs w:val="26"/>
              </w:rPr>
              <w:t>e</w:t>
            </w:r>
            <w:r w:rsidRPr="00B23FB1">
              <w:rPr>
                <w:rFonts w:ascii="Times New Roman" w:hAnsi="Times New Roman" w:cs="Times New Roman"/>
                <w:sz w:val="26"/>
                <w:szCs w:val="26"/>
              </w:rPr>
              <w:t xml:space="preserve">stas lleguen a su vencimiento y mientras no se perciba </w:t>
            </w:r>
            <w:r w:rsidR="009D5383" w:rsidRPr="00B23FB1">
              <w:rPr>
                <w:rFonts w:ascii="Times New Roman" w:hAnsi="Times New Roman" w:cs="Times New Roman"/>
                <w:sz w:val="26"/>
                <w:szCs w:val="26"/>
              </w:rPr>
              <w:t>o entregue</w:t>
            </w:r>
            <w:r w:rsidR="00E04A32" w:rsidRPr="00B23FB1">
              <w:rPr>
                <w:rFonts w:ascii="Times New Roman" w:hAnsi="Times New Roman" w:cs="Times New Roman"/>
                <w:sz w:val="26"/>
                <w:szCs w:val="26"/>
              </w:rPr>
              <w:t xml:space="preserve"> </w:t>
            </w:r>
            <w:r w:rsidRPr="00B23FB1">
              <w:rPr>
                <w:rFonts w:ascii="Times New Roman" w:hAnsi="Times New Roman" w:cs="Times New Roman"/>
                <w:sz w:val="26"/>
                <w:szCs w:val="26"/>
              </w:rPr>
              <w:t>la liquidación correspondiente, según se haya pactado en el contrato respectivo, el monto de las operaciones vencidas por cobrar o por pagar deberá registrarse en cuentas liquidadoras (deudores o acreedores por liquidación de operaciones).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Asimismo, por las operaciones en las que no se pacte la liquidación inmediata o fecha valor mismo día, incluyendo las de compraventa de divisas, en la fecha de concertación se deberá registrar en cuentas liquidadoras el monto por cobrar o por pagar, en tanto no se efectúe la liquidación de las mismas. En los casos en que el monto por cobrar no se realice a los 90 días naturales siguientes a partir de la fecha en que se haya registrado en cuentas liquidadoras se reclasificará como adeudo vencido y se deberá constituir simultáneamente la estimación por irrecuperabilidad o difícil cobro por el importe total del mismo conforme a lo establecido por el criterio A-2 “Aplicación de normas particulares”.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gridAfter w:val="1"/>
          <w:wAfter w:w="585" w:type="dxa"/>
          <w:trHeight w:val="20"/>
        </w:trPr>
        <w:tc>
          <w:tcPr>
            <w:tcW w:w="8648" w:type="dxa"/>
          </w:tcPr>
          <w:p w:rsidR="002C5C49"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Para efectos de presentación de los estados financieros, las cuentas liquidadoras se presentarán en el rubro de otras cuentas por cobrar (neto) u otras cuentas por pagar, según corresponda. El saldo de las cuentas liquidadoras deudoras y acreedoras podrá ser compensado en términos de lo establecido para las reglas de compensación previstas en el presente criterio.</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134" w:type="dxa"/>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Respecto a las operaciones a que se refiere el párrafo 10, se deberá revelar el saldo por cobrar o por pagar de la misma, por cada tipo de operación de la cual provengan (divisas, inversiones en valores, </w:t>
            </w:r>
            <w:r w:rsidR="009D5383" w:rsidRPr="00B23FB1">
              <w:rPr>
                <w:rFonts w:ascii="Times New Roman" w:hAnsi="Times New Roman" w:cs="Times New Roman"/>
                <w:sz w:val="26"/>
                <w:szCs w:val="26"/>
              </w:rPr>
              <w:t>reportos,</w:t>
            </w:r>
            <w:r w:rsidR="000F4168" w:rsidRPr="00B23FB1">
              <w:rPr>
                <w:rFonts w:ascii="Times New Roman" w:hAnsi="Times New Roman" w:cs="Times New Roman"/>
                <w:sz w:val="26"/>
                <w:szCs w:val="26"/>
              </w:rPr>
              <w:t xml:space="preserve"> </w:t>
            </w:r>
            <w:r w:rsidRPr="00B23FB1">
              <w:rPr>
                <w:rFonts w:ascii="Times New Roman" w:hAnsi="Times New Roman" w:cs="Times New Roman"/>
                <w:sz w:val="26"/>
                <w:szCs w:val="26"/>
              </w:rPr>
              <w:t>e</w:t>
            </w:r>
            <w:r w:rsidR="00EE3B1C" w:rsidRPr="00B23FB1">
              <w:rPr>
                <w:rFonts w:ascii="Times New Roman" w:hAnsi="Times New Roman" w:cs="Times New Roman"/>
                <w:sz w:val="26"/>
                <w:szCs w:val="26"/>
              </w:rPr>
              <w:t>tc.</w:t>
            </w:r>
            <w:r w:rsidRPr="00B23FB1">
              <w:rPr>
                <w:rFonts w:ascii="Times New Roman" w:hAnsi="Times New Roman" w:cs="Times New Roman"/>
                <w:sz w:val="26"/>
                <w:szCs w:val="26"/>
              </w:rPr>
              <w:t>), especificando que se trata de operaciones pactadas en las que queda pendiente su liquidación.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7D6C88" w:rsidRPr="00B23FB1" w:rsidRDefault="009D5383"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Estimaciones y provisiones diversas</w:t>
            </w:r>
          </w:p>
          <w:p w:rsidR="007468FD" w:rsidRPr="00B23FB1" w:rsidRDefault="007468FD" w:rsidP="00D271C1">
            <w:pPr>
              <w:pStyle w:val="Texto"/>
              <w:spacing w:after="0" w:line="240" w:lineRule="auto"/>
              <w:ind w:firstLine="0"/>
              <w:contextualSpacing/>
              <w:rPr>
                <w:rFonts w:ascii="Times New Roman" w:hAnsi="Times New Roman" w:cs="Times New Roman"/>
                <w:b/>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303CF2">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No se deberán crear, aumentar o disminuir contra los resultados del ejercicio estimaciones o provisiones con fines indeterminados y/o no cuantificables, así como aqu</w:t>
            </w:r>
            <w:r w:rsidR="00451A5E" w:rsidRPr="00B23FB1">
              <w:rPr>
                <w:rFonts w:ascii="Times New Roman" w:hAnsi="Times New Roman" w:cs="Times New Roman"/>
                <w:sz w:val="26"/>
                <w:szCs w:val="26"/>
              </w:rPr>
              <w:t>e</w:t>
            </w:r>
            <w:r w:rsidRPr="00B23FB1">
              <w:rPr>
                <w:rFonts w:ascii="Times New Roman" w:hAnsi="Times New Roman" w:cs="Times New Roman"/>
                <w:sz w:val="26"/>
                <w:szCs w:val="26"/>
              </w:rPr>
              <w:t>llas en las cuales exista normatividad en cuanto a su valuación.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7468FD" w:rsidRPr="00B23FB1" w:rsidRDefault="008466DD"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Fideicomisos</w:t>
            </w:r>
          </w:p>
          <w:p w:rsidR="00394D2F" w:rsidRPr="00B23FB1" w:rsidRDefault="00394D2F" w:rsidP="00D271C1">
            <w:pPr>
              <w:pStyle w:val="Texto"/>
              <w:spacing w:after="0" w:line="240" w:lineRule="auto"/>
              <w:ind w:firstLine="0"/>
              <w:contextualSpacing/>
              <w:rPr>
                <w:rFonts w:ascii="Times New Roman" w:hAnsi="Times New Roman" w:cs="Times New Roman"/>
                <w:sz w:val="26"/>
                <w:szCs w:val="26"/>
                <w:u w:val="single"/>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8466DD" w:rsidRPr="00B23FB1" w:rsidDel="00394D2F" w:rsidTr="007468FD">
        <w:trPr>
          <w:trHeight w:val="20"/>
        </w:trPr>
        <w:tc>
          <w:tcPr>
            <w:tcW w:w="8648" w:type="dxa"/>
          </w:tcPr>
          <w:p w:rsidR="008466DD" w:rsidRPr="00B23FB1" w:rsidRDefault="008466DD" w:rsidP="00B23FB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lastRenderedPageBreak/>
              <w:t>Cuando las entidades adquieran constancias o certificados de aportación, constancias de derechos fiduciarios, intereses residuales o cualquier otro título, contrato, o documento que otorguen a su tenedor participación en el posible excedente o remanente que en su caso genere el fideicomiso o cesionario, se deberá evaluar si dicha participación le otorga el control</w:t>
            </w:r>
            <w:r w:rsidR="00E8101B" w:rsidRPr="00B23FB1">
              <w:rPr>
                <w:rFonts w:ascii="Times New Roman" w:hAnsi="Times New Roman" w:cs="Times New Roman"/>
                <w:sz w:val="26"/>
                <w:szCs w:val="26"/>
              </w:rPr>
              <w:t xml:space="preserve">, control conjunto </w:t>
            </w:r>
            <w:r w:rsidRPr="00B23FB1">
              <w:rPr>
                <w:rFonts w:ascii="Times New Roman" w:hAnsi="Times New Roman" w:cs="Times New Roman"/>
                <w:sz w:val="26"/>
                <w:szCs w:val="26"/>
              </w:rPr>
              <w:t>o influencia significativa conforme a lo establecido en la</w:t>
            </w:r>
            <w:r w:rsidR="00E8101B" w:rsidRPr="00B23FB1">
              <w:rPr>
                <w:rFonts w:ascii="Times New Roman" w:hAnsi="Times New Roman" w:cs="Times New Roman"/>
                <w:sz w:val="26"/>
                <w:szCs w:val="26"/>
              </w:rPr>
              <w:t xml:space="preserve">s </w:t>
            </w:r>
            <w:r w:rsidRPr="00B23FB1">
              <w:rPr>
                <w:rFonts w:ascii="Times New Roman" w:hAnsi="Times New Roman" w:cs="Times New Roman"/>
                <w:sz w:val="26"/>
                <w:szCs w:val="26"/>
              </w:rPr>
              <w:t xml:space="preserve">NIF </w:t>
            </w:r>
            <w:r w:rsidR="00E8101B" w:rsidRPr="00B23FB1">
              <w:rPr>
                <w:rFonts w:ascii="Times New Roman" w:hAnsi="Times New Roman" w:cs="Times New Roman"/>
                <w:sz w:val="26"/>
                <w:szCs w:val="26"/>
              </w:rPr>
              <w:t>correspondientes.</w:t>
            </w:r>
            <w:r w:rsidR="00E35A1B" w:rsidRPr="00B23FB1">
              <w:rPr>
                <w:rFonts w:ascii="Times New Roman" w:hAnsi="Times New Roman" w:cs="Times New Roman"/>
                <w:sz w:val="26"/>
                <w:szCs w:val="26"/>
              </w:rPr>
              <w:t xml:space="preserve"> </w:t>
            </w:r>
          </w:p>
          <w:p w:rsidR="008466DD" w:rsidRPr="00B23FB1" w:rsidRDefault="008466DD">
            <w:pPr>
              <w:pStyle w:val="Texto"/>
              <w:spacing w:after="0" w:line="240" w:lineRule="auto"/>
              <w:ind w:firstLine="0"/>
              <w:contextualSpacing/>
              <w:rPr>
                <w:rFonts w:ascii="Times New Roman" w:hAnsi="Times New Roman" w:cs="Times New Roman"/>
                <w:b/>
                <w:sz w:val="26"/>
                <w:szCs w:val="26"/>
              </w:rPr>
            </w:pPr>
          </w:p>
          <w:p w:rsidR="008466DD" w:rsidRPr="00B23FB1" w:rsidRDefault="008466DD">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Intereses devengados</w:t>
            </w:r>
          </w:p>
          <w:p w:rsidR="008466DD" w:rsidRPr="00B23FB1" w:rsidDel="00394D2F" w:rsidRDefault="008466DD">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8466DD" w:rsidRPr="00B23FB1" w:rsidDel="00394D2F" w:rsidRDefault="008466DD" w:rsidP="00D271C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C77912" w:rsidRPr="00B23FB1" w:rsidRDefault="00D64888">
            <w:pPr>
              <w:pStyle w:val="Texto"/>
              <w:spacing w:after="0" w:line="240" w:lineRule="auto"/>
              <w:ind w:left="70" w:right="372" w:firstLine="0"/>
              <w:contextualSpacing/>
              <w:rPr>
                <w:rFonts w:ascii="Times New Roman" w:hAnsi="Times New Roman" w:cs="Times New Roman"/>
                <w:sz w:val="26"/>
                <w:szCs w:val="26"/>
              </w:rPr>
            </w:pPr>
            <w:r w:rsidRPr="00B23FB1">
              <w:rPr>
                <w:rFonts w:ascii="Times New Roman" w:hAnsi="Times New Roman" w:cs="Times New Roman"/>
                <w:sz w:val="26"/>
                <w:szCs w:val="26"/>
              </w:rPr>
              <w:t>Los intereses devengados por las diferentes partidas de activo o pasivo deberán presentarse en el balance general junto con su principal correspondiente.</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7D6C88" w:rsidRPr="00B23FB1" w:rsidRDefault="009D5383"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 xml:space="preserve">Reconocimiento o cancelación de activos y/o pasivos </w:t>
            </w:r>
          </w:p>
          <w:p w:rsidR="007468FD" w:rsidRPr="00B23FB1" w:rsidRDefault="007468FD" w:rsidP="00D271C1">
            <w:pPr>
              <w:pStyle w:val="Texto"/>
              <w:spacing w:after="0" w:line="240" w:lineRule="auto"/>
              <w:ind w:firstLine="0"/>
              <w:contextualSpacing/>
              <w:rPr>
                <w:rFonts w:ascii="Times New Roman" w:hAnsi="Times New Roman" w:cs="Times New Roman"/>
                <w:b/>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El reconocimiento o cancelación en los estados financieros de los activos y/o pasivos, incluyendo aqu</w:t>
            </w:r>
            <w:r w:rsidR="00C128CA" w:rsidRPr="00B23FB1">
              <w:rPr>
                <w:rFonts w:ascii="Times New Roman" w:hAnsi="Times New Roman" w:cs="Times New Roman"/>
                <w:sz w:val="26"/>
                <w:szCs w:val="26"/>
              </w:rPr>
              <w:t>e</w:t>
            </w:r>
            <w:r w:rsidRPr="00B23FB1">
              <w:rPr>
                <w:rFonts w:ascii="Times New Roman" w:hAnsi="Times New Roman" w:cs="Times New Roman"/>
                <w:sz w:val="26"/>
                <w:szCs w:val="26"/>
              </w:rPr>
              <w:t>llos provenientes de operaciones de compraventa de divisas, inversiones en valores</w:t>
            </w:r>
            <w:r w:rsidR="009D5383" w:rsidRPr="00B23FB1">
              <w:rPr>
                <w:rFonts w:ascii="Times New Roman" w:hAnsi="Times New Roman" w:cs="Times New Roman"/>
                <w:sz w:val="26"/>
                <w:szCs w:val="26"/>
              </w:rPr>
              <w:t>, reportos</w:t>
            </w:r>
            <w:r w:rsidRPr="00B23FB1">
              <w:rPr>
                <w:rFonts w:ascii="Times New Roman" w:hAnsi="Times New Roman" w:cs="Times New Roman"/>
                <w:sz w:val="26"/>
                <w:szCs w:val="26"/>
              </w:rPr>
              <w:t xml:space="preserve"> y títulos emitidos, se realizará en la fecha en que se concierte la operación, independientemente de la fecha de liquidación o entrega del bien.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7D6C88" w:rsidRPr="00B23FB1" w:rsidRDefault="009D5383"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Reglas de compensación</w:t>
            </w:r>
          </w:p>
          <w:p w:rsidR="007468FD" w:rsidRPr="00B23FB1" w:rsidRDefault="007468FD" w:rsidP="00D271C1">
            <w:pPr>
              <w:pStyle w:val="Texto"/>
              <w:spacing w:after="0" w:line="240" w:lineRule="auto"/>
              <w:ind w:firstLine="0"/>
              <w:contextualSpacing/>
              <w:rPr>
                <w:rFonts w:ascii="Times New Roman" w:hAnsi="Times New Roman" w:cs="Times New Roman"/>
                <w:b/>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9A64CE">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Los activos financieros y pasivos financieros serán objeto de compensación de manera que se presente en el balance general el saldo deudor o acreedor, según corresponda, si y solo si, la entidad:</w:t>
            </w:r>
          </w:p>
          <w:p w:rsidR="00D271C1" w:rsidRPr="00B23FB1" w:rsidRDefault="00D271C1" w:rsidP="00D271C1">
            <w:pPr>
              <w:pStyle w:val="Texto"/>
              <w:spacing w:after="0" w:line="240" w:lineRule="auto"/>
              <w:ind w:firstLine="0"/>
              <w:contextualSpacing/>
              <w:rPr>
                <w:rFonts w:ascii="Times New Roman" w:hAnsi="Times New Roman" w:cs="Times New Roman"/>
                <w:sz w:val="26"/>
                <w:szCs w:val="26"/>
              </w:rPr>
            </w:pPr>
          </w:p>
          <w:p w:rsidR="007D6C88" w:rsidRPr="00B23FB1" w:rsidRDefault="00D64888" w:rsidP="00D271C1">
            <w:pPr>
              <w:pStyle w:val="Texto"/>
              <w:spacing w:after="0" w:line="240" w:lineRule="auto"/>
              <w:ind w:left="396" w:hanging="396"/>
              <w:contextualSpacing/>
              <w:rPr>
                <w:rFonts w:ascii="Times New Roman" w:hAnsi="Times New Roman" w:cs="Times New Roman"/>
                <w:sz w:val="26"/>
                <w:szCs w:val="26"/>
              </w:rPr>
            </w:pPr>
            <w:r w:rsidRPr="00B23FB1">
              <w:rPr>
                <w:rFonts w:ascii="Times New Roman" w:hAnsi="Times New Roman" w:cs="Times New Roman"/>
                <w:sz w:val="26"/>
                <w:szCs w:val="26"/>
              </w:rPr>
              <w:t>a)</w:t>
            </w:r>
            <w:r w:rsidRPr="00B23FB1">
              <w:rPr>
                <w:rFonts w:ascii="Times New Roman" w:hAnsi="Times New Roman" w:cs="Times New Roman"/>
                <w:sz w:val="26"/>
                <w:szCs w:val="26"/>
              </w:rPr>
              <w:tab/>
              <w:t>tiene el derecho contractual de compensar los importes reconocidos</w:t>
            </w:r>
            <w:r w:rsidR="00A320A7" w:rsidRPr="00B23FB1">
              <w:rPr>
                <w:rFonts w:ascii="Times New Roman" w:hAnsi="Times New Roman" w:cs="Times New Roman"/>
                <w:sz w:val="26"/>
                <w:szCs w:val="26"/>
              </w:rPr>
              <w:t>, y</w:t>
            </w:r>
          </w:p>
          <w:p w:rsidR="002C5C49" w:rsidRPr="00B23FB1" w:rsidRDefault="00D64888" w:rsidP="00A320A7">
            <w:pPr>
              <w:pStyle w:val="Texto"/>
              <w:spacing w:after="0" w:line="240" w:lineRule="auto"/>
              <w:ind w:left="396" w:hanging="396"/>
              <w:contextualSpacing/>
              <w:rPr>
                <w:rFonts w:ascii="Times New Roman" w:hAnsi="Times New Roman" w:cs="Times New Roman"/>
                <w:sz w:val="26"/>
                <w:szCs w:val="26"/>
              </w:rPr>
            </w:pPr>
            <w:r w:rsidRPr="00B23FB1">
              <w:rPr>
                <w:rFonts w:ascii="Times New Roman" w:hAnsi="Times New Roman" w:cs="Times New Roman"/>
                <w:sz w:val="26"/>
                <w:szCs w:val="26"/>
              </w:rPr>
              <w:t>b)</w:t>
            </w:r>
            <w:r w:rsidRPr="00B23FB1">
              <w:rPr>
                <w:rFonts w:ascii="Times New Roman" w:hAnsi="Times New Roman" w:cs="Times New Roman"/>
                <w:sz w:val="26"/>
                <w:szCs w:val="26"/>
              </w:rPr>
              <w:tab/>
              <w:t>la intención de liquidar la cantidad neta, o de realizar el activo y cancelar el pasivo</w:t>
            </w:r>
            <w:r w:rsidR="009D5383" w:rsidRPr="00B23FB1">
              <w:rPr>
                <w:rFonts w:ascii="Times New Roman" w:hAnsi="Times New Roman" w:cs="Times New Roman"/>
                <w:sz w:val="26"/>
                <w:szCs w:val="26"/>
              </w:rPr>
              <w:t>,</w:t>
            </w:r>
            <w:r w:rsidRPr="00B23FB1">
              <w:rPr>
                <w:rFonts w:ascii="Times New Roman" w:hAnsi="Times New Roman" w:cs="Times New Roman"/>
                <w:sz w:val="26"/>
                <w:szCs w:val="26"/>
              </w:rPr>
              <w:t xml:space="preserve"> simultáneamente.</w:t>
            </w:r>
          </w:p>
          <w:p w:rsidR="007468FD" w:rsidRPr="00B23FB1" w:rsidRDefault="007468FD" w:rsidP="00D271C1">
            <w:pPr>
              <w:pStyle w:val="Texto"/>
              <w:spacing w:after="0" w:line="240" w:lineRule="auto"/>
              <w:ind w:left="396" w:hanging="396"/>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7468FD">
        <w:trPr>
          <w:trHeight w:val="20"/>
        </w:trPr>
        <w:tc>
          <w:tcPr>
            <w:tcW w:w="8648" w:type="dxa"/>
          </w:tcPr>
          <w:p w:rsidR="009A64CE"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Lo anterior</w:t>
            </w:r>
            <w:r w:rsidR="00C128CA" w:rsidRPr="00B23FB1">
              <w:rPr>
                <w:rFonts w:ascii="Times New Roman" w:hAnsi="Times New Roman" w:cs="Times New Roman"/>
                <w:sz w:val="26"/>
                <w:szCs w:val="26"/>
              </w:rPr>
              <w:t>,</w:t>
            </w:r>
            <w:r w:rsidRPr="00B23FB1">
              <w:rPr>
                <w:rFonts w:ascii="Times New Roman" w:hAnsi="Times New Roman" w:cs="Times New Roman"/>
                <w:sz w:val="26"/>
                <w:szCs w:val="26"/>
              </w:rPr>
              <w:t xml:space="preserve"> en adición a lo previsto en los criterios de contabilidad para sociedades financieras populares</w:t>
            </w:r>
            <w:r w:rsidR="00DA5290">
              <w:rPr>
                <w:rFonts w:ascii="Times New Roman" w:hAnsi="Times New Roman" w:cs="Times New Roman"/>
                <w:sz w:val="26"/>
                <w:szCs w:val="26"/>
              </w:rPr>
              <w:t>, sociedades financieras</w:t>
            </w:r>
            <w:r w:rsidRPr="00B23FB1">
              <w:rPr>
                <w:rFonts w:ascii="Times New Roman" w:hAnsi="Times New Roman" w:cs="Times New Roman"/>
                <w:sz w:val="26"/>
                <w:szCs w:val="26"/>
              </w:rPr>
              <w:t xml:space="preserve"> comunitarias</w:t>
            </w:r>
            <w:r w:rsidR="00DA5290">
              <w:rPr>
                <w:rFonts w:ascii="Times New Roman" w:hAnsi="Times New Roman" w:cs="Times New Roman"/>
                <w:sz w:val="26"/>
                <w:szCs w:val="26"/>
              </w:rPr>
              <w:t xml:space="preserve"> y</w:t>
            </w:r>
            <w:r w:rsidRPr="00B23FB1">
              <w:rPr>
                <w:rFonts w:ascii="Times New Roman" w:hAnsi="Times New Roman" w:cs="Times New Roman"/>
                <w:sz w:val="26"/>
                <w:szCs w:val="26"/>
              </w:rPr>
              <w:t xml:space="preserve"> organismos de integración financiera rural</w:t>
            </w:r>
            <w:r w:rsidR="009A64CE" w:rsidRPr="00B23FB1">
              <w:rPr>
                <w:rFonts w:ascii="Times New Roman" w:hAnsi="Times New Roman" w:cs="Times New Roman"/>
                <w:sz w:val="26"/>
                <w:szCs w:val="26"/>
              </w:rPr>
              <w:t xml:space="preserve"> </w:t>
            </w:r>
            <w:r w:rsidRPr="00B23FB1">
              <w:rPr>
                <w:rFonts w:ascii="Times New Roman" w:hAnsi="Times New Roman" w:cs="Times New Roman"/>
                <w:sz w:val="26"/>
                <w:szCs w:val="26"/>
              </w:rPr>
              <w:t>correspondientes a las operaciones en las que se establezca la forma de compensarlas</w:t>
            </w:r>
            <w:r w:rsidR="009D5383" w:rsidRPr="00B23FB1">
              <w:rPr>
                <w:rFonts w:ascii="Times New Roman" w:hAnsi="Times New Roman" w:cs="Times New Roman"/>
                <w:sz w:val="26"/>
                <w:szCs w:val="26"/>
              </w:rPr>
              <w:t>, como es el caso del criterio B-3 “Reportos”</w:t>
            </w:r>
            <w:r w:rsidRPr="00B23FB1">
              <w:rPr>
                <w:rFonts w:ascii="Times New Roman" w:hAnsi="Times New Roman" w:cs="Times New Roman"/>
                <w:sz w:val="26"/>
                <w:szCs w:val="26"/>
              </w:rPr>
              <w:t>.</w:t>
            </w:r>
          </w:p>
          <w:p w:rsidR="007D6C88" w:rsidRPr="00B23FB1" w:rsidRDefault="007D6C88" w:rsidP="00D271C1">
            <w:pPr>
              <w:pStyle w:val="Texto"/>
              <w:spacing w:after="0" w:line="240" w:lineRule="auto"/>
              <w:ind w:firstLine="0"/>
              <w:contextualSpacing/>
              <w:rPr>
                <w:rFonts w:ascii="Times New Roman" w:hAnsi="Times New Roman" w:cs="Times New Roman"/>
                <w:sz w:val="26"/>
                <w:szCs w:val="26"/>
                <w:u w:val="single"/>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En el reconocimiento de una transferencia que no cumpla con los requisitos para dar de baja un activo financiero del balance general en términos de lo establecido por el criterio C-1 “Reconocimiento y baja de activos financieros”, la entidad no compensará el activo transferido con el pasivo asociado.</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lastRenderedPageBreak/>
              <w:t>Este criterio establece la presentación del saldo neto sobre los activos financieros y pasivos financieros compensados, cuando al hacerlo se reflejen los flujos futuros de efectivo esperados por la entidad al liquidar dos o más instrumentos financieros de forma separada. Cuando la entidad tiene el derecho de recibir o pagar un importe único sobre el saldo neto, y además tenga la intención de hacerlo así, posee efectivamente un único activo financiero o pasivo financiero, respectivamente. En otras circunstancias, los activos financieros y pasivos financieros se presentarán por separado, dentro de los rubros que resulten aplicables de acuerdo con el tipo de bien de que se trate conforme a lo establecido por los criterios de contabilidad aplicables.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La compensación de activos financieros y pasivos financieros reconocidos, y la presentación en el balance general del saldo deudor o acreedor, no equivale a la baja del balance general del activo financiero o pasivo financiero. La compensación no tiene efectos en resultados del ejercicio; en contraposición, la baja del balance general de un instrumento financiero no s</w:t>
            </w:r>
            <w:r w:rsidR="00C128CA" w:rsidRPr="00B23FB1">
              <w:rPr>
                <w:rFonts w:ascii="Times New Roman" w:hAnsi="Times New Roman" w:cs="Times New Roman"/>
                <w:sz w:val="26"/>
                <w:szCs w:val="26"/>
              </w:rPr>
              <w:t>o</w:t>
            </w:r>
            <w:r w:rsidRPr="00B23FB1">
              <w:rPr>
                <w:rFonts w:ascii="Times New Roman" w:hAnsi="Times New Roman" w:cs="Times New Roman"/>
                <w:sz w:val="26"/>
                <w:szCs w:val="26"/>
              </w:rPr>
              <w:t>lo implica la desaparición de la partida reconocida en el balance general, sino que también puede dar lugar al reconocimiento de un efecto en resultados.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La compensación es un derecho legal del deudor, adquirido a través de un “contrato marco de compensación” u otro medio distinto, para cancelar o eliminar total o parcialmente una cuenta por pagar a un acreedor. En circunstancias excepcionales, un deudor puede tener un derecho legal para compensar una cantidad que le debe un tercero con el importe por pagar a un acreedor; por ejemplo, un acuerdo entre las tres partes que establezca claramente el derecho del deudor para realizar tal compensación. En este sentido, considerando que el derecho a compensar es de naturaleza legal, las condiciones legales en que se apoya este derecho pueden variar y por eso deben tomarse en cuenta las leyes aplicables a las operaciones entre las partes implicadas.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La existencia de un derecho a compensar un activo financiero y un pasivo financiero afectará los derechos y obligaciones asociados con los activos financieros y pasivos financieros correspondientes, y podrá afectar al nivel de exposición de la entidad a los riesgos de crédito y liquidez. No obstante, la existencia del derecho, por sí mismo, no es una razón suficiente para la compensación. Si no se tiene la intención de ejercer el derecho de compensar o de liquidar simultáneamente las dos posiciones, no resultarán afectados ni el importe ni la fecha de los flujos futuros de efectivo de la entidad derivados de ambos instrumentos. Cuando la entidad tenga intención de ejercer el derecho de compensar y liquidar simultáneamente las dos posiciones, la presentación del activo y del pasivo en términos netos reflejará de manera adecuada el importe y la fecha de los flujos futuros de efectivo, así como los riesgos a que dichos flujos están sometidos. La intención, ya sea de una o ambas partes, de liquidar en </w:t>
            </w:r>
            <w:r w:rsidRPr="00B23FB1">
              <w:rPr>
                <w:rFonts w:ascii="Times New Roman" w:hAnsi="Times New Roman" w:cs="Times New Roman"/>
                <w:sz w:val="26"/>
                <w:szCs w:val="26"/>
              </w:rPr>
              <w:lastRenderedPageBreak/>
              <w:t>términos netos, sin el correspondiente derecho para hacerlo, no es suficiente para justificar la compensación, puesto que los derechos y las obligaciones asociados con el activo financiero o el pasivo financiero, individualmente considerados, permanecen sin alteración.</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lastRenderedPageBreak/>
              <w:t>La intención de la entidad, respecto a la liquidación de activos financieros y pasivos financieros específicos, puede estar influida por sus prácticas de negocio habituales, por las exigencias de los mercados financieros o por otras circunstancias, que puedan limitar la posibilidad de liquidar por el neto o de liquidar simultáneamente los instrumentos. Cuando la entidad tenga el derecho de compensar, pero no la intención de liquidar en términos netos o de realizar el activo financiero y liquidar el pasivo financiero de forma simultánea, el efecto que tenga el mencionado derecho de compensación sobre la exposición al riesgo crediticio de la entidad se deberá revelar en notas a los estados financieros.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575C4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La liquidación simultánea de dos instrumentos financieros puede ocurrir, por ejemplo, a través de la actividad de una cámara de compensación en un mercado organizado, o bien mediante un intercambio con presencia de ambas partes. En tales circunstancias, los flujos de efectivo serán, efectivamente, equivalentes a una sola cantidad neta, y no existirá exposición al riesgo de crédito o liquidez. En otras circunstancias, la entidad podrá liquidar dos instrumentos mediante cobros y pagos independientes, resultando así expuesta al riesgo de crédito por el importe total del activo o al riesgo de liquidez por el importe total del pasivo. Dichas exposiciones al riesgo pueden ser significativas, aunque tengan una duración relativamente corta en el tiempo. De acuerdo con lo anterior, se considerará que la realización de un activo financiero es simultánea con la liquidación de un pasivo financiero s</w:t>
            </w:r>
            <w:r w:rsidR="00314046" w:rsidRPr="00B23FB1">
              <w:rPr>
                <w:rFonts w:ascii="Times New Roman" w:hAnsi="Times New Roman" w:cs="Times New Roman"/>
                <w:sz w:val="26"/>
                <w:szCs w:val="26"/>
              </w:rPr>
              <w:t>o</w:t>
            </w:r>
            <w:r w:rsidRPr="00B23FB1">
              <w:rPr>
                <w:rFonts w:ascii="Times New Roman" w:hAnsi="Times New Roman" w:cs="Times New Roman"/>
                <w:sz w:val="26"/>
                <w:szCs w:val="26"/>
              </w:rPr>
              <w:t>lo cuando las dos transacciones ocurran simultáneamente.</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E861B6"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Por lo general, será inadecuado realizar la compensación de activos financieros, si no se cumplen las condiciones establecidas en el párrafo 1</w:t>
            </w:r>
            <w:r w:rsidR="00706625" w:rsidRPr="00B23FB1">
              <w:rPr>
                <w:rFonts w:ascii="Times New Roman" w:hAnsi="Times New Roman" w:cs="Times New Roman"/>
                <w:sz w:val="26"/>
                <w:szCs w:val="26"/>
              </w:rPr>
              <w:t>7</w:t>
            </w:r>
            <w:r w:rsidRPr="00B23FB1">
              <w:rPr>
                <w:rFonts w:ascii="Times New Roman" w:hAnsi="Times New Roman" w:cs="Times New Roman"/>
                <w:sz w:val="26"/>
                <w:szCs w:val="26"/>
              </w:rPr>
              <w:t>, cuando:</w:t>
            </w:r>
          </w:p>
          <w:p w:rsidR="00D271C1" w:rsidRPr="00B23FB1" w:rsidRDefault="00D271C1" w:rsidP="00D271C1">
            <w:pPr>
              <w:pStyle w:val="Texto"/>
              <w:spacing w:after="0" w:line="240" w:lineRule="auto"/>
              <w:ind w:firstLine="0"/>
              <w:contextualSpacing/>
              <w:rPr>
                <w:rFonts w:ascii="Times New Roman" w:hAnsi="Times New Roman" w:cs="Times New Roman"/>
                <w:sz w:val="26"/>
                <w:szCs w:val="26"/>
              </w:rPr>
            </w:pPr>
          </w:p>
          <w:p w:rsidR="00E861B6" w:rsidRPr="00B23FB1" w:rsidRDefault="00D64888" w:rsidP="00D271C1">
            <w:pPr>
              <w:pStyle w:val="Texto"/>
              <w:spacing w:after="0" w:line="240" w:lineRule="auto"/>
              <w:ind w:left="432" w:hanging="432"/>
              <w:contextualSpacing/>
              <w:rPr>
                <w:rFonts w:ascii="Times New Roman" w:hAnsi="Times New Roman" w:cs="Times New Roman"/>
                <w:sz w:val="26"/>
                <w:szCs w:val="26"/>
              </w:rPr>
            </w:pPr>
            <w:r w:rsidRPr="00B23FB1">
              <w:rPr>
                <w:rFonts w:ascii="Times New Roman" w:hAnsi="Times New Roman" w:cs="Times New Roman"/>
                <w:sz w:val="26"/>
                <w:szCs w:val="26"/>
              </w:rPr>
              <w:t>a)</w:t>
            </w:r>
            <w:r w:rsidRPr="00B23FB1">
              <w:rPr>
                <w:rFonts w:ascii="Times New Roman" w:hAnsi="Times New Roman" w:cs="Times New Roman"/>
                <w:sz w:val="26"/>
                <w:szCs w:val="26"/>
              </w:rPr>
              <w:tab/>
              <w:t>los activos financieros y pasivos financieros surjan a partir de instrumentos financieros que tengan, básicamente, la misma exposición al riesgo, pero impliquen a diferentes contrapartes</w:t>
            </w:r>
            <w:r w:rsidR="00A320A7" w:rsidRPr="00B23FB1">
              <w:rPr>
                <w:rFonts w:ascii="Times New Roman" w:hAnsi="Times New Roman" w:cs="Times New Roman"/>
                <w:sz w:val="26"/>
                <w:szCs w:val="26"/>
              </w:rPr>
              <w:t>;</w:t>
            </w:r>
          </w:p>
          <w:p w:rsidR="00C80E40" w:rsidRPr="00B23FB1" w:rsidRDefault="00D64888" w:rsidP="00B23FB1">
            <w:pPr>
              <w:pStyle w:val="Texto"/>
              <w:spacing w:after="0" w:line="240" w:lineRule="auto"/>
              <w:ind w:left="432" w:hanging="432"/>
              <w:contextualSpacing/>
              <w:rPr>
                <w:rFonts w:ascii="Times New Roman" w:hAnsi="Times New Roman" w:cs="Times New Roman"/>
                <w:sz w:val="26"/>
                <w:szCs w:val="26"/>
              </w:rPr>
            </w:pPr>
            <w:r w:rsidRPr="00B23FB1">
              <w:rPr>
                <w:rFonts w:ascii="Times New Roman" w:hAnsi="Times New Roman" w:cs="Times New Roman"/>
                <w:sz w:val="26"/>
                <w:szCs w:val="26"/>
              </w:rPr>
              <w:t>b)</w:t>
            </w:r>
            <w:r w:rsidRPr="00B23FB1">
              <w:rPr>
                <w:rFonts w:ascii="Times New Roman" w:hAnsi="Times New Roman" w:cs="Times New Roman"/>
                <w:sz w:val="26"/>
                <w:szCs w:val="26"/>
              </w:rPr>
              <w:tab/>
              <w:t>los activos, financieros o no, se hayan transferido para servir de garantía de pasivos financieros que sean obligaciones sin recurso</w:t>
            </w:r>
            <w:r w:rsidR="00A320A7" w:rsidRPr="00B23FB1">
              <w:rPr>
                <w:rFonts w:ascii="Times New Roman" w:hAnsi="Times New Roman" w:cs="Times New Roman"/>
                <w:sz w:val="26"/>
                <w:szCs w:val="26"/>
              </w:rPr>
              <w:t xml:space="preserve">, </w:t>
            </w:r>
            <w:r w:rsidR="00C80E40" w:rsidRPr="00B23FB1">
              <w:rPr>
                <w:rFonts w:ascii="Times New Roman" w:hAnsi="Times New Roman" w:cs="Times New Roman"/>
                <w:sz w:val="26"/>
                <w:szCs w:val="26"/>
              </w:rPr>
              <w:t>o</w:t>
            </w:r>
          </w:p>
          <w:p w:rsidR="009D5383" w:rsidRPr="00B23FB1" w:rsidRDefault="00C80E40" w:rsidP="00B23FB1">
            <w:pPr>
              <w:pStyle w:val="Texto"/>
              <w:spacing w:after="0" w:line="240" w:lineRule="auto"/>
              <w:ind w:left="432" w:hanging="432"/>
              <w:contextualSpacing/>
              <w:rPr>
                <w:rFonts w:ascii="Times New Roman" w:hAnsi="Times New Roman" w:cs="Times New Roman"/>
                <w:sz w:val="26"/>
                <w:szCs w:val="26"/>
              </w:rPr>
            </w:pPr>
            <w:r w:rsidRPr="00B23FB1">
              <w:rPr>
                <w:rFonts w:ascii="Times New Roman" w:hAnsi="Times New Roman" w:cs="Times New Roman"/>
                <w:sz w:val="26"/>
                <w:szCs w:val="26"/>
              </w:rPr>
              <w:t xml:space="preserve">c) </w:t>
            </w:r>
            <w:r w:rsidRPr="00B23FB1">
              <w:rPr>
                <w:rFonts w:ascii="Times New Roman" w:hAnsi="Times New Roman" w:cs="Times New Roman"/>
                <w:sz w:val="26"/>
                <w:szCs w:val="26"/>
              </w:rPr>
              <w:tab/>
              <w:t>los activos financieros hayan sido asignados por el deudor a un fondo separado, en régimen de fideicomiso, con la intención de liberarse de una obligación, pero que no hayan sido objeto de aceptación por el acreedor como forma de pago de la misma (por ejemplo un fondo constituido para reducir o amortizar obligaciones futuras)</w:t>
            </w:r>
            <w:r w:rsidR="00D64888" w:rsidRPr="00B23FB1">
              <w:rPr>
                <w:rFonts w:ascii="Times New Roman" w:hAnsi="Times New Roman" w:cs="Times New Roman"/>
                <w:sz w:val="26"/>
                <w:szCs w:val="26"/>
              </w:rPr>
              <w:t>.</w:t>
            </w:r>
          </w:p>
          <w:p w:rsidR="007468FD" w:rsidRPr="00B23FB1" w:rsidRDefault="007468FD" w:rsidP="00D271C1">
            <w:pPr>
              <w:pStyle w:val="Texto"/>
              <w:spacing w:after="0" w:line="240" w:lineRule="auto"/>
              <w:ind w:left="432" w:hanging="432"/>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575C46" w:rsidRPr="00B23FB1" w:rsidTr="007468FD">
        <w:trPr>
          <w:trHeight w:val="20"/>
        </w:trPr>
        <w:tc>
          <w:tcPr>
            <w:tcW w:w="8648" w:type="dxa"/>
          </w:tcPr>
          <w:p w:rsidR="00E861B6" w:rsidRPr="00B23FB1" w:rsidRDefault="00D64888" w:rsidP="00D271C1">
            <w:pPr>
              <w:pStyle w:val="Texto"/>
              <w:spacing w:after="0" w:line="240" w:lineRule="auto"/>
              <w:ind w:firstLine="0"/>
              <w:contextualSpacing/>
              <w:rPr>
                <w:rFonts w:ascii="Times New Roman" w:hAnsi="Times New Roman" w:cs="Times New Roman"/>
                <w:sz w:val="26"/>
                <w:szCs w:val="26"/>
                <w:lang w:eastAsia="es-MX"/>
              </w:rPr>
            </w:pPr>
            <w:r w:rsidRPr="00B23FB1">
              <w:rPr>
                <w:rFonts w:ascii="Times New Roman" w:hAnsi="Times New Roman" w:cs="Times New Roman"/>
                <w:sz w:val="26"/>
                <w:szCs w:val="26"/>
                <w:lang w:eastAsia="es-MX"/>
              </w:rPr>
              <w:lastRenderedPageBreak/>
              <w:t>Una entidad que haya suscrito varias transacciones de instrumentos financieros con una sola contraparte puede realizar con ella un “contrato marco de compensación”. Tal acuerdo contempla una única liquidación, por compensación, de todos los instrumentos financieros acogidos al mismo, en caso de incumplimiento o de terminación de cualquiera de los contratos. Un “contrato marco de compensación”, por lo general, crea un derecho a compensar que se convierte en exigible y, por tanto, afecta a la realización o cancelación de activos financieros y pasivos financieros individuales, s</w:t>
            </w:r>
            <w:r w:rsidR="00314046" w:rsidRPr="00B23FB1">
              <w:rPr>
                <w:rFonts w:ascii="Times New Roman" w:hAnsi="Times New Roman" w:cs="Times New Roman"/>
                <w:sz w:val="26"/>
                <w:szCs w:val="26"/>
                <w:lang w:eastAsia="es-MX"/>
              </w:rPr>
              <w:t>o</w:t>
            </w:r>
            <w:r w:rsidRPr="00B23FB1">
              <w:rPr>
                <w:rFonts w:ascii="Times New Roman" w:hAnsi="Times New Roman" w:cs="Times New Roman"/>
                <w:sz w:val="26"/>
                <w:szCs w:val="26"/>
                <w:lang w:eastAsia="es-MX"/>
              </w:rPr>
              <w:t>lo cuando se presenten determinadas situaciones de insolvencia o en otras circunstancias anormales dentro del curso normal de las actividades de la entidad. Un “contrato marco de compensación” no cumple las condiciones para compensar instrumentos a menos que se satisfagan las dos condiciones del párrafo 1</w:t>
            </w:r>
            <w:r w:rsidR="00706625" w:rsidRPr="00B23FB1">
              <w:rPr>
                <w:rFonts w:ascii="Times New Roman" w:hAnsi="Times New Roman" w:cs="Times New Roman"/>
                <w:sz w:val="26"/>
                <w:szCs w:val="26"/>
                <w:lang w:eastAsia="es-MX"/>
              </w:rPr>
              <w:t>7</w:t>
            </w:r>
            <w:r w:rsidRPr="00B23FB1">
              <w:rPr>
                <w:rFonts w:ascii="Times New Roman" w:hAnsi="Times New Roman" w:cs="Times New Roman"/>
                <w:sz w:val="26"/>
                <w:szCs w:val="26"/>
                <w:lang w:eastAsia="es-MX"/>
              </w:rPr>
              <w:t>. Cuando los activos financieros y pasivos financieros sujetos a un “contrato marco de compensación” no hayan sido objeto de compensación, se revelará el efecto que el acuerdo tiene en la exposición de la entidad al riesgo de crédito.</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lang w:eastAsia="es-MX"/>
              </w:rPr>
            </w:pPr>
          </w:p>
          <w:p w:rsidR="007468FD" w:rsidRPr="00B23FB1" w:rsidRDefault="009D5383" w:rsidP="00B23FB1">
            <w:pPr>
              <w:pStyle w:val="Texto"/>
              <w:pBdr>
                <w:between w:val="double" w:sz="6" w:space="1" w:color="auto"/>
              </w:pBdr>
              <w:tabs>
                <w:tab w:val="center" w:pos="4464"/>
                <w:tab w:val="right" w:pos="8582"/>
              </w:tabs>
              <w:spacing w:after="0" w:line="240" w:lineRule="auto"/>
              <w:ind w:right="288" w:firstLine="0"/>
              <w:contextualSpacing/>
              <w:rPr>
                <w:rFonts w:ascii="Times New Roman" w:hAnsi="Times New Roman" w:cs="Times New Roman"/>
                <w:b/>
                <w:sz w:val="26"/>
                <w:szCs w:val="26"/>
              </w:rPr>
            </w:pPr>
            <w:r w:rsidRPr="00B23FB1">
              <w:rPr>
                <w:rFonts w:ascii="Times New Roman" w:hAnsi="Times New Roman" w:cs="Times New Roman"/>
                <w:b/>
                <w:sz w:val="26"/>
                <w:szCs w:val="26"/>
              </w:rPr>
              <w:t>Revelación de información financiera</w:t>
            </w:r>
          </w:p>
          <w:p w:rsidR="007468FD" w:rsidRPr="00B23FB1" w:rsidRDefault="007468FD" w:rsidP="00D271C1">
            <w:pPr>
              <w:pStyle w:val="Texto"/>
              <w:pBdr>
                <w:between w:val="double" w:sz="6" w:space="1" w:color="auto"/>
              </w:pBdr>
              <w:tabs>
                <w:tab w:val="center" w:pos="4464"/>
                <w:tab w:val="right" w:pos="8582"/>
              </w:tabs>
              <w:spacing w:after="0" w:line="240" w:lineRule="auto"/>
              <w:ind w:left="288" w:right="288" w:firstLine="0"/>
              <w:contextualSpacing/>
              <w:rPr>
                <w:rFonts w:ascii="Times New Roman" w:hAnsi="Times New Roman" w:cs="Times New Roman"/>
                <w:b/>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B23FB1">
        <w:trPr>
          <w:trHeight w:val="20"/>
        </w:trPr>
        <w:tc>
          <w:tcPr>
            <w:tcW w:w="8648" w:type="dxa"/>
          </w:tcPr>
          <w:p w:rsidR="007D6C88"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En </w:t>
            </w:r>
            <w:r w:rsidR="009D5383" w:rsidRPr="00B23FB1">
              <w:rPr>
                <w:rFonts w:ascii="Times New Roman" w:hAnsi="Times New Roman" w:cs="Times New Roman"/>
                <w:sz w:val="26"/>
                <w:szCs w:val="26"/>
              </w:rPr>
              <w:t>relación a la revelación de información financiera</w:t>
            </w:r>
            <w:r w:rsidRPr="00B23FB1">
              <w:rPr>
                <w:rFonts w:ascii="Times New Roman" w:hAnsi="Times New Roman" w:cs="Times New Roman"/>
                <w:sz w:val="26"/>
                <w:szCs w:val="26"/>
              </w:rPr>
              <w:t>, se deberá tomar en cuenta lo establecido en la NIF A-7 “Presentación y revelación”, respecto a que la responsabilidad de rendir información sobre la entidad económica descansa en su administración, debiendo reunir dicha información, determinadas características cualitativas tales como la confiabilidad, la relevancia, la comprensibilidad y la comparabilidad</w:t>
            </w:r>
            <w:r w:rsidR="00E04A32" w:rsidRPr="00B23FB1">
              <w:rPr>
                <w:rFonts w:ascii="Times New Roman" w:hAnsi="Times New Roman" w:cs="Times New Roman"/>
                <w:sz w:val="26"/>
                <w:szCs w:val="26"/>
              </w:rPr>
              <w:t xml:space="preserve"> </w:t>
            </w:r>
            <w:r w:rsidR="009D5383" w:rsidRPr="00B23FB1">
              <w:rPr>
                <w:rFonts w:ascii="Times New Roman" w:hAnsi="Times New Roman" w:cs="Times New Roman"/>
                <w:sz w:val="26"/>
                <w:szCs w:val="26"/>
              </w:rPr>
              <w:t>con base en lo previsto en la NIF A-1 “Estructura de las normas de información financiera”</w:t>
            </w:r>
            <w:r w:rsidRPr="00B23FB1">
              <w:rPr>
                <w:rFonts w:ascii="Times New Roman" w:hAnsi="Times New Roman" w:cs="Times New Roman"/>
                <w:sz w:val="26"/>
                <w:szCs w:val="26"/>
              </w:rPr>
              <w:t xml:space="preserve">. </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B23FB1">
        <w:trPr>
          <w:trHeight w:val="20"/>
        </w:trPr>
        <w:tc>
          <w:tcPr>
            <w:tcW w:w="8648" w:type="dxa"/>
          </w:tcPr>
          <w:p w:rsidR="002C5C49"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Las entidades en el cumplimiento de las normas de revelación previstas en los presentes criterios de contabilidad deberán considerar </w:t>
            </w:r>
            <w:r w:rsidR="009D5383" w:rsidRPr="00B23FB1">
              <w:rPr>
                <w:rFonts w:ascii="Times New Roman" w:hAnsi="Times New Roman" w:cs="Times New Roman"/>
                <w:sz w:val="26"/>
                <w:szCs w:val="26"/>
              </w:rPr>
              <w:t>a la importancia relativa</w:t>
            </w:r>
            <w:r w:rsidR="00E04A32" w:rsidRPr="00B23FB1">
              <w:rPr>
                <w:rFonts w:ascii="Times New Roman" w:hAnsi="Times New Roman" w:cs="Times New Roman"/>
                <w:sz w:val="26"/>
                <w:szCs w:val="26"/>
              </w:rPr>
              <w:t xml:space="preserve"> </w:t>
            </w:r>
            <w:r w:rsidRPr="00B23FB1">
              <w:rPr>
                <w:rFonts w:ascii="Times New Roman" w:hAnsi="Times New Roman" w:cs="Times New Roman"/>
                <w:sz w:val="26"/>
                <w:szCs w:val="26"/>
              </w:rPr>
              <w:t>en términos de la NIF A-4 “Características cualitativas de los estados financieros”</w:t>
            </w:r>
            <w:r w:rsidR="009D5383" w:rsidRPr="00B23FB1">
              <w:rPr>
                <w:rFonts w:ascii="Times New Roman" w:hAnsi="Times New Roman" w:cs="Times New Roman"/>
                <w:sz w:val="26"/>
                <w:szCs w:val="26"/>
              </w:rPr>
              <w:t>, es decir</w:t>
            </w:r>
            <w:r w:rsidRPr="00B23FB1">
              <w:rPr>
                <w:rFonts w:ascii="Times New Roman" w:hAnsi="Times New Roman" w:cs="Times New Roman"/>
                <w:sz w:val="26"/>
                <w:szCs w:val="26"/>
              </w:rPr>
              <w:t xml:space="preserve">, deberán mostrar los aspectos más significativos de la entidad reconocidos contablemente tal y como lo señala dicha característica asociada a la relevancia. </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E04A32" w:rsidRPr="00B23FB1" w:rsidTr="007468FD">
        <w:trPr>
          <w:trHeight w:val="20"/>
        </w:trPr>
        <w:tc>
          <w:tcPr>
            <w:tcW w:w="8648" w:type="dxa"/>
          </w:tcPr>
          <w:p w:rsidR="00E04A32" w:rsidRPr="00B23FB1" w:rsidRDefault="009D5383"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Lo anterior implica, entre otros elementos, que la importancia relativa requiere del ejercicio del juicio profesional ante las circunstancias que determinan los hechos que refleja la información financiera. En el mismo sentido, debe obtenerse un equilibrio apropiado entre las características cualitativas de la información financiera con el fin de cumplir el objetivo de los estados financieros, para lo cual debe buscarse un punto óptimo más que la consecución de niveles máximos de todas las características cualitativas.</w:t>
            </w:r>
          </w:p>
          <w:p w:rsidR="00E04A32" w:rsidRPr="00B23FB1" w:rsidRDefault="00E04A32"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E04A32" w:rsidRPr="00B23FB1" w:rsidRDefault="00E04A32" w:rsidP="00D271C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B23FB1" w:rsidTr="00B23FB1">
        <w:trPr>
          <w:trHeight w:val="20"/>
        </w:trPr>
        <w:tc>
          <w:tcPr>
            <w:tcW w:w="8648" w:type="dxa"/>
          </w:tcPr>
          <w:p w:rsidR="00562FDE"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 xml:space="preserve">No obstante, por lo que se refiere a la importancia relativa, </w:t>
            </w:r>
            <w:r w:rsidR="002117A7" w:rsidRPr="00B23FB1">
              <w:rPr>
                <w:rFonts w:ascii="Times New Roman" w:hAnsi="Times New Roman" w:cs="Times New Roman"/>
                <w:sz w:val="26"/>
                <w:szCs w:val="26"/>
              </w:rPr>
              <w:t>e</w:t>
            </w:r>
            <w:r w:rsidRPr="00B23FB1">
              <w:rPr>
                <w:rFonts w:ascii="Times New Roman" w:hAnsi="Times New Roman" w:cs="Times New Roman"/>
                <w:sz w:val="26"/>
                <w:szCs w:val="26"/>
              </w:rPr>
              <w:t>sta no será aplicable a la información</w:t>
            </w:r>
            <w:r w:rsidR="00562FDE" w:rsidRPr="00B23FB1">
              <w:rPr>
                <w:rFonts w:ascii="Times New Roman" w:hAnsi="Times New Roman" w:cs="Times New Roman"/>
                <w:sz w:val="26"/>
                <w:szCs w:val="26"/>
              </w:rPr>
              <w:t>:</w:t>
            </w:r>
          </w:p>
          <w:p w:rsidR="00D271C1" w:rsidRPr="00B23FB1" w:rsidRDefault="00D271C1" w:rsidP="00D271C1">
            <w:pPr>
              <w:pStyle w:val="Texto"/>
              <w:spacing w:after="0" w:line="240" w:lineRule="auto"/>
              <w:ind w:firstLine="0"/>
              <w:contextualSpacing/>
              <w:rPr>
                <w:rFonts w:ascii="Times New Roman" w:hAnsi="Times New Roman" w:cs="Times New Roman"/>
                <w:sz w:val="26"/>
                <w:szCs w:val="26"/>
              </w:rPr>
            </w:pPr>
          </w:p>
          <w:p w:rsidR="009D5383" w:rsidRPr="00B23FB1" w:rsidRDefault="00D64888" w:rsidP="00B23FB1">
            <w:pPr>
              <w:pStyle w:val="Texto"/>
              <w:numPr>
                <w:ilvl w:val="0"/>
                <w:numId w:val="120"/>
              </w:numPr>
              <w:spacing w:after="0" w:line="240" w:lineRule="auto"/>
              <w:ind w:left="354" w:hanging="354"/>
              <w:contextualSpacing/>
              <w:rPr>
                <w:rFonts w:ascii="Times New Roman" w:hAnsi="Times New Roman" w:cs="Times New Roman"/>
                <w:sz w:val="26"/>
                <w:szCs w:val="26"/>
              </w:rPr>
            </w:pPr>
            <w:r w:rsidRPr="00B23FB1">
              <w:rPr>
                <w:rFonts w:ascii="Times New Roman" w:hAnsi="Times New Roman" w:cs="Times New Roman"/>
                <w:sz w:val="26"/>
                <w:szCs w:val="26"/>
              </w:rPr>
              <w:t xml:space="preserve">requerida por la CNBV a través de </w:t>
            </w:r>
            <w:r w:rsidR="009D5383" w:rsidRPr="00B23FB1">
              <w:rPr>
                <w:rFonts w:ascii="Times New Roman" w:hAnsi="Times New Roman" w:cs="Times New Roman"/>
                <w:sz w:val="26"/>
                <w:szCs w:val="26"/>
              </w:rPr>
              <w:t>otras</w:t>
            </w:r>
            <w:r w:rsidR="00562FDE" w:rsidRPr="00B23FB1">
              <w:rPr>
                <w:rFonts w:ascii="Times New Roman" w:hAnsi="Times New Roman" w:cs="Times New Roman"/>
                <w:sz w:val="26"/>
                <w:szCs w:val="26"/>
              </w:rPr>
              <w:t xml:space="preserve"> </w:t>
            </w:r>
            <w:r w:rsidRPr="00B23FB1">
              <w:rPr>
                <w:rFonts w:ascii="Times New Roman" w:hAnsi="Times New Roman" w:cs="Times New Roman"/>
                <w:sz w:val="26"/>
                <w:szCs w:val="26"/>
              </w:rPr>
              <w:t>disposiciones de carácter general que al efecto emita</w:t>
            </w:r>
            <w:r w:rsidR="009D5383" w:rsidRPr="00B23FB1">
              <w:rPr>
                <w:rFonts w:ascii="Times New Roman" w:hAnsi="Times New Roman" w:cs="Times New Roman"/>
                <w:sz w:val="26"/>
                <w:szCs w:val="26"/>
              </w:rPr>
              <w:t>, distintas a las contenidas en los presentes criterios</w:t>
            </w:r>
            <w:r w:rsidR="00562FDE" w:rsidRPr="00B23FB1">
              <w:rPr>
                <w:rFonts w:ascii="Times New Roman" w:hAnsi="Times New Roman" w:cs="Times New Roman"/>
                <w:sz w:val="26"/>
                <w:szCs w:val="26"/>
              </w:rPr>
              <w:t>;</w:t>
            </w:r>
          </w:p>
          <w:p w:rsidR="009D5383" w:rsidRPr="00B23FB1" w:rsidRDefault="00D64888" w:rsidP="00B23FB1">
            <w:pPr>
              <w:pStyle w:val="Texto"/>
              <w:numPr>
                <w:ilvl w:val="0"/>
                <w:numId w:val="120"/>
              </w:numPr>
              <w:spacing w:after="0" w:line="240" w:lineRule="auto"/>
              <w:ind w:left="354" w:hanging="354"/>
              <w:contextualSpacing/>
              <w:rPr>
                <w:rFonts w:ascii="Times New Roman" w:hAnsi="Times New Roman" w:cs="Times New Roman"/>
                <w:sz w:val="26"/>
                <w:szCs w:val="26"/>
              </w:rPr>
            </w:pPr>
            <w:r w:rsidRPr="00B23FB1">
              <w:rPr>
                <w:rFonts w:ascii="Times New Roman" w:hAnsi="Times New Roman" w:cs="Times New Roman"/>
                <w:sz w:val="26"/>
                <w:szCs w:val="26"/>
              </w:rPr>
              <w:t xml:space="preserve">adicional específica </w:t>
            </w:r>
            <w:r w:rsidR="00562FDE" w:rsidRPr="00B23FB1">
              <w:rPr>
                <w:rFonts w:ascii="Times New Roman" w:hAnsi="Times New Roman" w:cs="Times New Roman"/>
                <w:sz w:val="26"/>
                <w:szCs w:val="26"/>
              </w:rPr>
              <w:t xml:space="preserve">requerida por la CNBV, </w:t>
            </w:r>
            <w:r w:rsidRPr="00B23FB1">
              <w:rPr>
                <w:rFonts w:ascii="Times New Roman" w:hAnsi="Times New Roman" w:cs="Times New Roman"/>
                <w:sz w:val="26"/>
                <w:szCs w:val="26"/>
              </w:rPr>
              <w:t xml:space="preserve">relacionada con sus actividades de supervisión, </w:t>
            </w:r>
            <w:r w:rsidR="00562FDE" w:rsidRPr="00B23FB1">
              <w:rPr>
                <w:rFonts w:ascii="Times New Roman" w:hAnsi="Times New Roman" w:cs="Times New Roman"/>
                <w:sz w:val="26"/>
                <w:szCs w:val="26"/>
              </w:rPr>
              <w:t>y</w:t>
            </w:r>
          </w:p>
          <w:p w:rsidR="009D5383" w:rsidRPr="00B23FB1" w:rsidRDefault="00E50193" w:rsidP="00B23FB1">
            <w:pPr>
              <w:pStyle w:val="Texto"/>
              <w:numPr>
                <w:ilvl w:val="0"/>
                <w:numId w:val="120"/>
              </w:numPr>
              <w:spacing w:after="0" w:line="240" w:lineRule="auto"/>
              <w:ind w:left="354" w:hanging="354"/>
              <w:contextualSpacing/>
              <w:rPr>
                <w:rFonts w:ascii="Times New Roman" w:hAnsi="Times New Roman" w:cs="Times New Roman"/>
                <w:sz w:val="26"/>
                <w:szCs w:val="26"/>
              </w:rPr>
            </w:pPr>
            <w:r w:rsidRPr="00B23FB1">
              <w:rPr>
                <w:rFonts w:ascii="Times New Roman" w:hAnsi="Times New Roman" w:cs="Times New Roman"/>
                <w:sz w:val="26"/>
                <w:szCs w:val="26"/>
              </w:rPr>
              <w:t>r</w:t>
            </w:r>
            <w:r w:rsidR="00562FDE" w:rsidRPr="00B23FB1">
              <w:rPr>
                <w:rFonts w:ascii="Times New Roman" w:hAnsi="Times New Roman" w:cs="Times New Roman"/>
                <w:sz w:val="26"/>
                <w:szCs w:val="26"/>
              </w:rPr>
              <w:t>equerida m</w:t>
            </w:r>
            <w:r w:rsidR="00D64888" w:rsidRPr="00B23FB1">
              <w:rPr>
                <w:rFonts w:ascii="Times New Roman" w:hAnsi="Times New Roman" w:cs="Times New Roman"/>
                <w:sz w:val="26"/>
                <w:szCs w:val="26"/>
              </w:rPr>
              <w:t>e</w:t>
            </w:r>
            <w:r w:rsidR="00562FDE" w:rsidRPr="00B23FB1">
              <w:rPr>
                <w:rFonts w:ascii="Times New Roman" w:hAnsi="Times New Roman" w:cs="Times New Roman"/>
                <w:sz w:val="26"/>
                <w:szCs w:val="26"/>
              </w:rPr>
              <w:t>dia</w:t>
            </w:r>
            <w:r w:rsidR="00D64888" w:rsidRPr="00B23FB1">
              <w:rPr>
                <w:rFonts w:ascii="Times New Roman" w:hAnsi="Times New Roman" w:cs="Times New Roman"/>
                <w:sz w:val="26"/>
                <w:szCs w:val="26"/>
              </w:rPr>
              <w:t>n</w:t>
            </w:r>
            <w:r w:rsidR="00562FDE" w:rsidRPr="00B23FB1">
              <w:rPr>
                <w:rFonts w:ascii="Times New Roman" w:hAnsi="Times New Roman" w:cs="Times New Roman"/>
                <w:sz w:val="26"/>
                <w:szCs w:val="26"/>
              </w:rPr>
              <w:t>te</w:t>
            </w:r>
            <w:r w:rsidR="00D64888" w:rsidRPr="00B23FB1">
              <w:rPr>
                <w:rFonts w:ascii="Times New Roman" w:hAnsi="Times New Roman" w:cs="Times New Roman"/>
                <w:sz w:val="26"/>
                <w:szCs w:val="26"/>
              </w:rPr>
              <w:t xml:space="preserve"> la emisión o autorización, en su caso, de criterios o registros contables especiales.</w:t>
            </w:r>
          </w:p>
          <w:p w:rsidR="007468FD" w:rsidRPr="00B23FB1" w:rsidRDefault="007468FD" w:rsidP="00D271C1">
            <w:pPr>
              <w:pStyle w:val="Texto"/>
              <w:spacing w:after="0" w:line="240" w:lineRule="auto"/>
              <w:ind w:firstLine="0"/>
              <w:contextualSpacing/>
              <w:rPr>
                <w:rFonts w:ascii="Times New Roman" w:hAnsi="Times New Roman" w:cs="Times New Roman"/>
                <w:sz w:val="26"/>
                <w:szCs w:val="26"/>
              </w:rPr>
            </w:pPr>
          </w:p>
          <w:p w:rsidR="000F7565" w:rsidRPr="00B23FB1" w:rsidRDefault="009D5383"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Transacciones en moneda extranjera</w:t>
            </w:r>
            <w:r w:rsidR="00D64888" w:rsidRPr="00B23FB1">
              <w:rPr>
                <w:rFonts w:ascii="Times New Roman" w:hAnsi="Times New Roman" w:cs="Times New Roman"/>
                <w:b/>
                <w:sz w:val="26"/>
                <w:szCs w:val="26"/>
              </w:rPr>
              <w:t xml:space="preserve"> </w:t>
            </w: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3F268C" w:rsidRPr="00B23FB1" w:rsidTr="007468FD">
        <w:trPr>
          <w:trHeight w:val="20"/>
        </w:trPr>
        <w:tc>
          <w:tcPr>
            <w:tcW w:w="8648" w:type="dxa"/>
          </w:tcPr>
          <w:p w:rsidR="003F268C" w:rsidRPr="00B23FB1" w:rsidRDefault="009D5383"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lastRenderedPageBreak/>
              <w:t>En la formulación de los estados financieros, el tipo de cambio a utilizar para establecer la equivalencia de la moneda nacional con el dólar de los Estados Unidos de América, será el tipo de cambio FIX publicado por el Banco de México en el Diario Oficial de la Federación (DOF) el día hábil posterior a la fecha de transacción o de elaboración de los estados financieros, según corresponda.</w:t>
            </w:r>
          </w:p>
          <w:p w:rsidR="003F268C" w:rsidRPr="00B23FB1" w:rsidRDefault="003F268C"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3F268C" w:rsidRPr="00B23FB1" w:rsidTr="007468FD">
        <w:trPr>
          <w:trHeight w:val="20"/>
        </w:trPr>
        <w:tc>
          <w:tcPr>
            <w:tcW w:w="8648" w:type="dxa"/>
          </w:tcPr>
          <w:p w:rsidR="00C77912" w:rsidRPr="00B23FB1" w:rsidRDefault="009D5383" w:rsidP="00B23FB1">
            <w:pPr>
              <w:pStyle w:val="Texto"/>
              <w:tabs>
                <w:tab w:val="left" w:pos="1350"/>
              </w:tabs>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En el caso de divisas distintas al dólar de los Estados Unidos de América, deberán convertir la moneda respectiva a dólares de los Estados Unidos de América. Para realizar dicha conversión considerarán la cotización que rija para la moneda correspondiente en relación al mencionado dólar en los mercados internacionales, conforme lo establece el Banco de México en la regulación aplicable.</w:t>
            </w:r>
          </w:p>
          <w:p w:rsidR="00C77912" w:rsidRPr="00B23FB1" w:rsidRDefault="00C77912" w:rsidP="00B23FB1">
            <w:pPr>
              <w:pStyle w:val="Texto"/>
              <w:tabs>
                <w:tab w:val="left" w:pos="1350"/>
              </w:tabs>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3F268C" w:rsidRPr="00B23FB1" w:rsidTr="007468FD">
        <w:trPr>
          <w:trHeight w:val="20"/>
        </w:trPr>
        <w:tc>
          <w:tcPr>
            <w:tcW w:w="8648" w:type="dxa"/>
          </w:tcPr>
          <w:p w:rsidR="00C77912" w:rsidRPr="00B23FB1" w:rsidRDefault="009D5383" w:rsidP="00B23FB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Asimismo, deberá revelarse en notas a los estados financieros, el monto de las transacciones denominadas en moneda extranjera por las divisas más relevantes para la entidad, así como el tipo de cambio utilizado y su equivalente en moneda nacional, conforme a lo señalado en los dos párrafos anteriores.</w:t>
            </w:r>
          </w:p>
          <w:p w:rsidR="00C77912" w:rsidRPr="00B23FB1" w:rsidRDefault="00C77912" w:rsidP="00B23FB1">
            <w:pPr>
              <w:pStyle w:val="Texto"/>
              <w:spacing w:after="0" w:line="240" w:lineRule="auto"/>
              <w:ind w:firstLine="0"/>
              <w:contextualSpacing/>
              <w:rPr>
                <w:rFonts w:ascii="Times New Roman" w:hAnsi="Times New Roman" w:cs="Times New Roman"/>
                <w:sz w:val="26"/>
                <w:szCs w:val="26"/>
              </w:rPr>
            </w:pPr>
          </w:p>
          <w:p w:rsidR="003F268C" w:rsidRPr="00B23FB1" w:rsidRDefault="00D64888" w:rsidP="00D271C1">
            <w:pPr>
              <w:pStyle w:val="Texto"/>
              <w:spacing w:after="0" w:line="240" w:lineRule="auto"/>
              <w:ind w:firstLine="0"/>
              <w:contextualSpacing/>
              <w:rPr>
                <w:rFonts w:ascii="Times New Roman" w:hAnsi="Times New Roman" w:cs="Times New Roman"/>
                <w:b/>
                <w:sz w:val="26"/>
                <w:szCs w:val="26"/>
              </w:rPr>
            </w:pPr>
            <w:r w:rsidRPr="00B23FB1">
              <w:rPr>
                <w:rFonts w:ascii="Times New Roman" w:hAnsi="Times New Roman" w:cs="Times New Roman"/>
                <w:b/>
                <w:sz w:val="26"/>
                <w:szCs w:val="26"/>
              </w:rPr>
              <w:t>Valorización de la UDI</w:t>
            </w:r>
          </w:p>
          <w:p w:rsidR="003F268C" w:rsidRPr="00B23FB1" w:rsidRDefault="003F268C" w:rsidP="00D271C1">
            <w:pPr>
              <w:pStyle w:val="Texto"/>
              <w:spacing w:after="0" w:line="240" w:lineRule="auto"/>
              <w:ind w:firstLine="0"/>
              <w:contextualSpacing/>
              <w:rPr>
                <w:rFonts w:ascii="Times New Roman" w:hAnsi="Times New Roman" w:cs="Times New Roman"/>
                <w:sz w:val="26"/>
                <w:szCs w:val="26"/>
              </w:rPr>
            </w:pP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r w:rsidR="007D6C88" w:rsidRPr="00D271C1" w:rsidTr="007468FD">
        <w:trPr>
          <w:trHeight w:val="20"/>
        </w:trPr>
        <w:tc>
          <w:tcPr>
            <w:tcW w:w="8648" w:type="dxa"/>
          </w:tcPr>
          <w:p w:rsidR="005D6845" w:rsidRPr="00B23FB1" w:rsidRDefault="00D64888" w:rsidP="00D271C1">
            <w:pPr>
              <w:pStyle w:val="Texto"/>
              <w:spacing w:after="0" w:line="240" w:lineRule="auto"/>
              <w:ind w:firstLine="0"/>
              <w:contextualSpacing/>
              <w:rPr>
                <w:rFonts w:ascii="Times New Roman" w:hAnsi="Times New Roman" w:cs="Times New Roman"/>
                <w:sz w:val="26"/>
                <w:szCs w:val="26"/>
              </w:rPr>
            </w:pPr>
            <w:r w:rsidRPr="00B23FB1">
              <w:rPr>
                <w:rFonts w:ascii="Times New Roman" w:hAnsi="Times New Roman" w:cs="Times New Roman"/>
                <w:sz w:val="26"/>
                <w:szCs w:val="26"/>
              </w:rPr>
              <w:t>El valor a utilizar será aquel dado a conocer por el Banco de México en el DOF, aplicable en la fecha de la valuación.</w:t>
            </w:r>
          </w:p>
        </w:tc>
        <w:tc>
          <w:tcPr>
            <w:tcW w:w="1719" w:type="dxa"/>
            <w:gridSpan w:val="2"/>
          </w:tcPr>
          <w:p w:rsidR="00C77912" w:rsidRPr="00B23FB1" w:rsidRDefault="00C77912" w:rsidP="00B23FB1">
            <w:pPr>
              <w:pStyle w:val="Texto"/>
              <w:numPr>
                <w:ilvl w:val="0"/>
                <w:numId w:val="119"/>
              </w:numPr>
              <w:spacing w:after="0" w:line="240" w:lineRule="auto"/>
              <w:ind w:right="372"/>
              <w:contextualSpacing/>
              <w:jc w:val="left"/>
              <w:rPr>
                <w:rFonts w:ascii="Times New Roman" w:hAnsi="Times New Roman" w:cs="Times New Roman"/>
                <w:sz w:val="20"/>
              </w:rPr>
            </w:pPr>
          </w:p>
        </w:tc>
      </w:tr>
    </w:tbl>
    <w:p w:rsidR="007D6C88" w:rsidRPr="00D271C1" w:rsidRDefault="007D6C88" w:rsidP="00D271C1">
      <w:pPr>
        <w:pStyle w:val="Texto"/>
        <w:spacing w:after="0" w:line="240" w:lineRule="auto"/>
        <w:contextualSpacing/>
        <w:rPr>
          <w:rFonts w:ascii="Times New Roman" w:hAnsi="Times New Roman" w:cs="Times New Roman"/>
          <w:sz w:val="26"/>
          <w:szCs w:val="26"/>
        </w:rPr>
      </w:pPr>
    </w:p>
    <w:sectPr w:rsidR="007D6C88" w:rsidRPr="00D271C1" w:rsidSect="00B23FB1">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ACB" w:rsidRDefault="00A91ACB">
      <w:r>
        <w:separator/>
      </w:r>
    </w:p>
  </w:endnote>
  <w:endnote w:type="continuationSeparator" w:id="0">
    <w:p w:rsidR="00A91ACB" w:rsidRDefault="00A9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ACB" w:rsidRDefault="00A91ACB">
      <w:r>
        <w:separator/>
      </w:r>
    </w:p>
  </w:footnote>
  <w:footnote w:type="continuationSeparator" w:id="0">
    <w:p w:rsidR="00A91ACB" w:rsidRDefault="00A91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0F1D7C36"/>
    <w:multiLevelType w:val="hybridMultilevel"/>
    <w:tmpl w:val="0DF0F974"/>
    <w:lvl w:ilvl="0" w:tplc="173EE81C">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0">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2">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1">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2">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8">
    <w:nsid w:val="23327E65"/>
    <w:multiLevelType w:val="hybridMultilevel"/>
    <w:tmpl w:val="F85A3CF6"/>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1">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2">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4">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0">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2">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FC30362"/>
    <w:multiLevelType w:val="hybridMultilevel"/>
    <w:tmpl w:val="C6BA5866"/>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4">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1">
    <w:nsid w:val="36E23281"/>
    <w:multiLevelType w:val="hybridMultilevel"/>
    <w:tmpl w:val="88F490D6"/>
    <w:lvl w:ilvl="0" w:tplc="04090017">
      <w:start w:val="1"/>
      <w:numFmt w:val="lowerLetter"/>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2">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3">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6">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7">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8">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9">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70">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3">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5">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77">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9">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0">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1">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4">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5">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6">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1">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2">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3">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5">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7">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01">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3">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5">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CD62BDD"/>
    <w:multiLevelType w:val="hybridMultilevel"/>
    <w:tmpl w:val="4C9A27B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9">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2">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4604682"/>
    <w:multiLevelType w:val="hybridMultilevel"/>
    <w:tmpl w:val="E326C4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15">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6">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9">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6"/>
  </w:num>
  <w:num w:numId="2">
    <w:abstractNumId w:val="33"/>
  </w:num>
  <w:num w:numId="3">
    <w:abstractNumId w:val="68"/>
  </w:num>
  <w:num w:numId="4">
    <w:abstractNumId w:val="96"/>
  </w:num>
  <w:num w:numId="5">
    <w:abstractNumId w:val="95"/>
  </w:num>
  <w:num w:numId="6">
    <w:abstractNumId w:val="16"/>
  </w:num>
  <w:num w:numId="7">
    <w:abstractNumId w:val="88"/>
  </w:num>
  <w:num w:numId="8">
    <w:abstractNumId w:val="84"/>
  </w:num>
  <w:num w:numId="9">
    <w:abstractNumId w:val="1"/>
  </w:num>
  <w:num w:numId="10">
    <w:abstractNumId w:val="81"/>
  </w:num>
  <w:num w:numId="11">
    <w:abstractNumId w:val="19"/>
  </w:num>
  <w:num w:numId="12">
    <w:abstractNumId w:val="51"/>
  </w:num>
  <w:num w:numId="13">
    <w:abstractNumId w:val="41"/>
  </w:num>
  <w:num w:numId="14">
    <w:abstractNumId w:val="86"/>
  </w:num>
  <w:num w:numId="15">
    <w:abstractNumId w:val="98"/>
  </w:num>
  <w:num w:numId="16">
    <w:abstractNumId w:val="92"/>
  </w:num>
  <w:num w:numId="17">
    <w:abstractNumId w:val="32"/>
  </w:num>
  <w:num w:numId="18">
    <w:abstractNumId w:val="62"/>
  </w:num>
  <w:num w:numId="19">
    <w:abstractNumId w:val="9"/>
  </w:num>
  <w:num w:numId="20">
    <w:abstractNumId w:val="80"/>
  </w:num>
  <w:num w:numId="21">
    <w:abstractNumId w:val="78"/>
  </w:num>
  <w:num w:numId="22">
    <w:abstractNumId w:val="3"/>
  </w:num>
  <w:num w:numId="23">
    <w:abstractNumId w:val="43"/>
  </w:num>
  <w:num w:numId="24">
    <w:abstractNumId w:val="91"/>
  </w:num>
  <w:num w:numId="25">
    <w:abstractNumId w:val="49"/>
  </w:num>
  <w:num w:numId="26">
    <w:abstractNumId w:val="60"/>
  </w:num>
  <w:num w:numId="27">
    <w:abstractNumId w:val="7"/>
  </w:num>
  <w:num w:numId="28">
    <w:abstractNumId w:val="14"/>
  </w:num>
  <w:num w:numId="29">
    <w:abstractNumId w:val="114"/>
  </w:num>
  <w:num w:numId="30">
    <w:abstractNumId w:val="21"/>
  </w:num>
  <w:num w:numId="31">
    <w:abstractNumId w:val="39"/>
  </w:num>
  <w:num w:numId="32">
    <w:abstractNumId w:val="37"/>
  </w:num>
  <w:num w:numId="33">
    <w:abstractNumId w:val="121"/>
  </w:num>
  <w:num w:numId="34">
    <w:abstractNumId w:val="108"/>
  </w:num>
  <w:num w:numId="35">
    <w:abstractNumId w:val="72"/>
  </w:num>
  <w:num w:numId="36">
    <w:abstractNumId w:val="40"/>
  </w:num>
  <w:num w:numId="37">
    <w:abstractNumId w:val="104"/>
  </w:num>
  <w:num w:numId="38">
    <w:abstractNumId w:val="31"/>
  </w:num>
  <w:num w:numId="39">
    <w:abstractNumId w:val="83"/>
  </w:num>
  <w:num w:numId="40">
    <w:abstractNumId w:val="118"/>
  </w:num>
  <w:num w:numId="41">
    <w:abstractNumId w:val="102"/>
  </w:num>
  <w:num w:numId="42">
    <w:abstractNumId w:val="29"/>
  </w:num>
  <w:num w:numId="43">
    <w:abstractNumId w:val="11"/>
  </w:num>
  <w:num w:numId="44">
    <w:abstractNumId w:val="23"/>
  </w:num>
  <w:num w:numId="45">
    <w:abstractNumId w:val="119"/>
  </w:num>
  <w:num w:numId="46">
    <w:abstractNumId w:val="2"/>
  </w:num>
  <w:num w:numId="47">
    <w:abstractNumId w:val="47"/>
  </w:num>
  <w:num w:numId="48">
    <w:abstractNumId w:val="15"/>
  </w:num>
  <w:num w:numId="49">
    <w:abstractNumId w:val="10"/>
  </w:num>
  <w:num w:numId="50">
    <w:abstractNumId w:val="22"/>
  </w:num>
  <w:num w:numId="51">
    <w:abstractNumId w:val="116"/>
  </w:num>
  <w:num w:numId="52">
    <w:abstractNumId w:val="77"/>
  </w:num>
  <w:num w:numId="53">
    <w:abstractNumId w:val="93"/>
  </w:num>
  <w:num w:numId="54">
    <w:abstractNumId w:val="97"/>
  </w:num>
  <w:num w:numId="55">
    <w:abstractNumId w:val="82"/>
  </w:num>
  <w:num w:numId="56">
    <w:abstractNumId w:val="70"/>
  </w:num>
  <w:num w:numId="57">
    <w:abstractNumId w:val="71"/>
  </w:num>
  <w:num w:numId="58">
    <w:abstractNumId w:val="110"/>
  </w:num>
  <w:num w:numId="59">
    <w:abstractNumId w:val="100"/>
  </w:num>
  <w:num w:numId="60">
    <w:abstractNumId w:val="66"/>
  </w:num>
  <w:num w:numId="61">
    <w:abstractNumId w:val="13"/>
  </w:num>
  <w:num w:numId="62">
    <w:abstractNumId w:val="111"/>
  </w:num>
  <w:num w:numId="63">
    <w:abstractNumId w:val="74"/>
  </w:num>
  <w:num w:numId="64">
    <w:abstractNumId w:val="4"/>
  </w:num>
  <w:num w:numId="65">
    <w:abstractNumId w:val="65"/>
  </w:num>
  <w:num w:numId="66">
    <w:abstractNumId w:val="94"/>
  </w:num>
  <w:num w:numId="67">
    <w:abstractNumId w:val="6"/>
  </w:num>
  <w:num w:numId="68">
    <w:abstractNumId w:val="34"/>
  </w:num>
  <w:num w:numId="69">
    <w:abstractNumId w:val="36"/>
  </w:num>
  <w:num w:numId="70">
    <w:abstractNumId w:val="87"/>
  </w:num>
  <w:num w:numId="71">
    <w:abstractNumId w:val="58"/>
  </w:num>
  <w:num w:numId="72">
    <w:abstractNumId w:val="117"/>
  </w:num>
  <w:num w:numId="73">
    <w:abstractNumId w:val="54"/>
  </w:num>
  <w:num w:numId="74">
    <w:abstractNumId w:val="76"/>
  </w:num>
  <w:num w:numId="75">
    <w:abstractNumId w:val="57"/>
  </w:num>
  <w:num w:numId="76">
    <w:abstractNumId w:val="30"/>
  </w:num>
  <w:num w:numId="77">
    <w:abstractNumId w:val="69"/>
  </w:num>
  <w:num w:numId="78">
    <w:abstractNumId w:val="53"/>
  </w:num>
  <w:num w:numId="79">
    <w:abstractNumId w:val="55"/>
  </w:num>
  <w:num w:numId="80">
    <w:abstractNumId w:val="25"/>
  </w:num>
  <w:num w:numId="81">
    <w:abstractNumId w:val="18"/>
  </w:num>
  <w:num w:numId="82">
    <w:abstractNumId w:val="38"/>
  </w:num>
  <w:num w:numId="83">
    <w:abstractNumId w:val="48"/>
  </w:num>
  <w:num w:numId="84">
    <w:abstractNumId w:val="26"/>
  </w:num>
  <w:num w:numId="85">
    <w:abstractNumId w:val="120"/>
  </w:num>
  <w:num w:numId="86">
    <w:abstractNumId w:val="63"/>
  </w:num>
  <w:num w:numId="87">
    <w:abstractNumId w:val="8"/>
  </w:num>
  <w:num w:numId="88">
    <w:abstractNumId w:val="99"/>
  </w:num>
  <w:num w:numId="89">
    <w:abstractNumId w:val="105"/>
  </w:num>
  <w:num w:numId="90">
    <w:abstractNumId w:val="115"/>
  </w:num>
  <w:num w:numId="91">
    <w:abstractNumId w:val="24"/>
  </w:num>
  <w:num w:numId="92">
    <w:abstractNumId w:val="20"/>
  </w:num>
  <w:num w:numId="93">
    <w:abstractNumId w:val="0"/>
  </w:num>
  <w:num w:numId="94">
    <w:abstractNumId w:val="28"/>
  </w:num>
  <w:num w:numId="95">
    <w:abstractNumId w:val="106"/>
  </w:num>
  <w:num w:numId="96">
    <w:abstractNumId w:val="103"/>
  </w:num>
  <w:num w:numId="97">
    <w:abstractNumId w:val="64"/>
  </w:num>
  <w:num w:numId="98">
    <w:abstractNumId w:val="52"/>
  </w:num>
  <w:num w:numId="99">
    <w:abstractNumId w:val="90"/>
  </w:num>
  <w:num w:numId="100">
    <w:abstractNumId w:val="67"/>
  </w:num>
  <w:num w:numId="101">
    <w:abstractNumId w:val="85"/>
  </w:num>
  <w:num w:numId="102">
    <w:abstractNumId w:val="42"/>
  </w:num>
  <w:num w:numId="103">
    <w:abstractNumId w:val="79"/>
  </w:num>
  <w:num w:numId="104">
    <w:abstractNumId w:val="101"/>
  </w:num>
  <w:num w:numId="105">
    <w:abstractNumId w:val="5"/>
  </w:num>
  <w:num w:numId="106">
    <w:abstractNumId w:val="12"/>
  </w:num>
  <w:num w:numId="107">
    <w:abstractNumId w:val="27"/>
  </w:num>
  <w:num w:numId="108">
    <w:abstractNumId w:val="50"/>
  </w:num>
  <w:num w:numId="109">
    <w:abstractNumId w:val="109"/>
  </w:num>
  <w:num w:numId="110">
    <w:abstractNumId w:val="89"/>
  </w:num>
  <w:num w:numId="111">
    <w:abstractNumId w:val="59"/>
  </w:num>
  <w:num w:numId="112">
    <w:abstractNumId w:val="73"/>
  </w:num>
  <w:num w:numId="113">
    <w:abstractNumId w:val="35"/>
  </w:num>
  <w:num w:numId="114">
    <w:abstractNumId w:val="44"/>
  </w:num>
  <w:num w:numId="115">
    <w:abstractNumId w:val="112"/>
  </w:num>
  <w:num w:numId="116">
    <w:abstractNumId w:val="75"/>
  </w:num>
  <w:num w:numId="117">
    <w:abstractNumId w:val="45"/>
  </w:num>
  <w:num w:numId="118">
    <w:abstractNumId w:val="56"/>
  </w:num>
  <w:num w:numId="119">
    <w:abstractNumId w:val="17"/>
  </w:num>
  <w:num w:numId="120">
    <w:abstractNumId w:val="61"/>
  </w:num>
  <w:num w:numId="121">
    <w:abstractNumId w:val="107"/>
  </w:num>
  <w:num w:numId="122">
    <w:abstractNumId w:val="113"/>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B70"/>
    <w:rsid w:val="00000E22"/>
    <w:rsid w:val="0001512D"/>
    <w:rsid w:val="0001634B"/>
    <w:rsid w:val="00021A0A"/>
    <w:rsid w:val="000249BC"/>
    <w:rsid w:val="0002573E"/>
    <w:rsid w:val="00031F6B"/>
    <w:rsid w:val="00051217"/>
    <w:rsid w:val="00055D5E"/>
    <w:rsid w:val="00066B35"/>
    <w:rsid w:val="0007182B"/>
    <w:rsid w:val="000912A7"/>
    <w:rsid w:val="000A0F37"/>
    <w:rsid w:val="000A4B56"/>
    <w:rsid w:val="000B0196"/>
    <w:rsid w:val="000B5401"/>
    <w:rsid w:val="000C7A09"/>
    <w:rsid w:val="000E0655"/>
    <w:rsid w:val="000E33D3"/>
    <w:rsid w:val="000F0E72"/>
    <w:rsid w:val="000F1AF4"/>
    <w:rsid w:val="000F4168"/>
    <w:rsid w:val="000F7565"/>
    <w:rsid w:val="00103E9E"/>
    <w:rsid w:val="0010454B"/>
    <w:rsid w:val="0010500F"/>
    <w:rsid w:val="0010663C"/>
    <w:rsid w:val="001101D3"/>
    <w:rsid w:val="00111ED5"/>
    <w:rsid w:val="00116508"/>
    <w:rsid w:val="00121622"/>
    <w:rsid w:val="00127D49"/>
    <w:rsid w:val="00136629"/>
    <w:rsid w:val="00145B5A"/>
    <w:rsid w:val="001504E9"/>
    <w:rsid w:val="001527D0"/>
    <w:rsid w:val="001538BC"/>
    <w:rsid w:val="00154ECC"/>
    <w:rsid w:val="00161FE5"/>
    <w:rsid w:val="00166606"/>
    <w:rsid w:val="001871F6"/>
    <w:rsid w:val="001A0336"/>
    <w:rsid w:val="001A59D9"/>
    <w:rsid w:val="001B1FBA"/>
    <w:rsid w:val="001B2C1C"/>
    <w:rsid w:val="001C2F88"/>
    <w:rsid w:val="001C5781"/>
    <w:rsid w:val="001C7850"/>
    <w:rsid w:val="001C79B0"/>
    <w:rsid w:val="001E6566"/>
    <w:rsid w:val="001F5470"/>
    <w:rsid w:val="00201475"/>
    <w:rsid w:val="00211245"/>
    <w:rsid w:val="002117A7"/>
    <w:rsid w:val="002200AC"/>
    <w:rsid w:val="002253E0"/>
    <w:rsid w:val="002329E5"/>
    <w:rsid w:val="002379E3"/>
    <w:rsid w:val="00251264"/>
    <w:rsid w:val="00261E27"/>
    <w:rsid w:val="0026673D"/>
    <w:rsid w:val="0027586E"/>
    <w:rsid w:val="00283843"/>
    <w:rsid w:val="00285AAF"/>
    <w:rsid w:val="00295A93"/>
    <w:rsid w:val="00297AD6"/>
    <w:rsid w:val="002B4AB6"/>
    <w:rsid w:val="002C0FE6"/>
    <w:rsid w:val="002C3071"/>
    <w:rsid w:val="002C5C49"/>
    <w:rsid w:val="002E19FF"/>
    <w:rsid w:val="002E23D9"/>
    <w:rsid w:val="00303CF2"/>
    <w:rsid w:val="00303FA4"/>
    <w:rsid w:val="00306697"/>
    <w:rsid w:val="003078A5"/>
    <w:rsid w:val="00314046"/>
    <w:rsid w:val="003257CC"/>
    <w:rsid w:val="0034742F"/>
    <w:rsid w:val="00355B94"/>
    <w:rsid w:val="00361BF8"/>
    <w:rsid w:val="0036290A"/>
    <w:rsid w:val="00364829"/>
    <w:rsid w:val="00366A6C"/>
    <w:rsid w:val="00366E6F"/>
    <w:rsid w:val="00370577"/>
    <w:rsid w:val="00381F84"/>
    <w:rsid w:val="00385656"/>
    <w:rsid w:val="00394D2F"/>
    <w:rsid w:val="003B16E7"/>
    <w:rsid w:val="003B1C4E"/>
    <w:rsid w:val="003B6685"/>
    <w:rsid w:val="003E7D1C"/>
    <w:rsid w:val="003F268C"/>
    <w:rsid w:val="0040111C"/>
    <w:rsid w:val="0040355E"/>
    <w:rsid w:val="00404652"/>
    <w:rsid w:val="00405AF5"/>
    <w:rsid w:val="00412C1C"/>
    <w:rsid w:val="00451A5E"/>
    <w:rsid w:val="0045302C"/>
    <w:rsid w:val="004637D6"/>
    <w:rsid w:val="00473016"/>
    <w:rsid w:val="004762D8"/>
    <w:rsid w:val="00484846"/>
    <w:rsid w:val="00495320"/>
    <w:rsid w:val="004A65F1"/>
    <w:rsid w:val="004A6862"/>
    <w:rsid w:val="004B1757"/>
    <w:rsid w:val="004B558F"/>
    <w:rsid w:val="004D3E5D"/>
    <w:rsid w:val="004D47F8"/>
    <w:rsid w:val="004D6A01"/>
    <w:rsid w:val="005014B0"/>
    <w:rsid w:val="00524709"/>
    <w:rsid w:val="00530E12"/>
    <w:rsid w:val="00550ACE"/>
    <w:rsid w:val="00561949"/>
    <w:rsid w:val="00562FDE"/>
    <w:rsid w:val="00575C46"/>
    <w:rsid w:val="00586E9C"/>
    <w:rsid w:val="00590926"/>
    <w:rsid w:val="00591F92"/>
    <w:rsid w:val="00593F1A"/>
    <w:rsid w:val="00595CA2"/>
    <w:rsid w:val="005960B6"/>
    <w:rsid w:val="00596507"/>
    <w:rsid w:val="005C2F6D"/>
    <w:rsid w:val="005D1BB9"/>
    <w:rsid w:val="005D3D05"/>
    <w:rsid w:val="005D5E1A"/>
    <w:rsid w:val="005D6711"/>
    <w:rsid w:val="005D6845"/>
    <w:rsid w:val="005E5098"/>
    <w:rsid w:val="005E5CDA"/>
    <w:rsid w:val="005F07AC"/>
    <w:rsid w:val="005F13E0"/>
    <w:rsid w:val="00603874"/>
    <w:rsid w:val="00620B80"/>
    <w:rsid w:val="00653E1D"/>
    <w:rsid w:val="006566F8"/>
    <w:rsid w:val="00664591"/>
    <w:rsid w:val="006700E1"/>
    <w:rsid w:val="00671AE7"/>
    <w:rsid w:val="0067585F"/>
    <w:rsid w:val="006767C1"/>
    <w:rsid w:val="00677A21"/>
    <w:rsid w:val="00684DEA"/>
    <w:rsid w:val="006A08A7"/>
    <w:rsid w:val="006A110B"/>
    <w:rsid w:val="006B58BF"/>
    <w:rsid w:val="006C2B40"/>
    <w:rsid w:val="006D4DA3"/>
    <w:rsid w:val="006F4BBF"/>
    <w:rsid w:val="00704A1C"/>
    <w:rsid w:val="00706625"/>
    <w:rsid w:val="00707DAA"/>
    <w:rsid w:val="00713445"/>
    <w:rsid w:val="00714677"/>
    <w:rsid w:val="00727A8C"/>
    <w:rsid w:val="007303D3"/>
    <w:rsid w:val="00732809"/>
    <w:rsid w:val="007468FD"/>
    <w:rsid w:val="007616EC"/>
    <w:rsid w:val="00765CF3"/>
    <w:rsid w:val="00771397"/>
    <w:rsid w:val="0078062D"/>
    <w:rsid w:val="00792FA3"/>
    <w:rsid w:val="007960A5"/>
    <w:rsid w:val="007A4065"/>
    <w:rsid w:val="007A6C9F"/>
    <w:rsid w:val="007C23A2"/>
    <w:rsid w:val="007D5A53"/>
    <w:rsid w:val="007D6C88"/>
    <w:rsid w:val="007F4880"/>
    <w:rsid w:val="0081184A"/>
    <w:rsid w:val="008247FA"/>
    <w:rsid w:val="00841C0C"/>
    <w:rsid w:val="008466DD"/>
    <w:rsid w:val="00866D5B"/>
    <w:rsid w:val="0087608A"/>
    <w:rsid w:val="00880509"/>
    <w:rsid w:val="008A28E5"/>
    <w:rsid w:val="008B04F0"/>
    <w:rsid w:val="008C33E5"/>
    <w:rsid w:val="008C6AB4"/>
    <w:rsid w:val="008E471B"/>
    <w:rsid w:val="008F568E"/>
    <w:rsid w:val="009070F6"/>
    <w:rsid w:val="009141EE"/>
    <w:rsid w:val="009167B7"/>
    <w:rsid w:val="00916DA3"/>
    <w:rsid w:val="00926D7E"/>
    <w:rsid w:val="00932991"/>
    <w:rsid w:val="0093716A"/>
    <w:rsid w:val="00937B32"/>
    <w:rsid w:val="00940821"/>
    <w:rsid w:val="009416DA"/>
    <w:rsid w:val="00943EF1"/>
    <w:rsid w:val="009477B8"/>
    <w:rsid w:val="009556B9"/>
    <w:rsid w:val="00970819"/>
    <w:rsid w:val="00977BDD"/>
    <w:rsid w:val="00984FDD"/>
    <w:rsid w:val="00987228"/>
    <w:rsid w:val="00997033"/>
    <w:rsid w:val="009A2D8B"/>
    <w:rsid w:val="009A536D"/>
    <w:rsid w:val="009A64CE"/>
    <w:rsid w:val="009B567F"/>
    <w:rsid w:val="009C3201"/>
    <w:rsid w:val="009D5383"/>
    <w:rsid w:val="009F2D74"/>
    <w:rsid w:val="00A0449E"/>
    <w:rsid w:val="00A05E96"/>
    <w:rsid w:val="00A07FDF"/>
    <w:rsid w:val="00A320A7"/>
    <w:rsid w:val="00A32510"/>
    <w:rsid w:val="00A35A9A"/>
    <w:rsid w:val="00A428E0"/>
    <w:rsid w:val="00A453C5"/>
    <w:rsid w:val="00A54D16"/>
    <w:rsid w:val="00A54FF0"/>
    <w:rsid w:val="00A55508"/>
    <w:rsid w:val="00A65013"/>
    <w:rsid w:val="00A73C5B"/>
    <w:rsid w:val="00A80AAA"/>
    <w:rsid w:val="00A812D9"/>
    <w:rsid w:val="00A86A69"/>
    <w:rsid w:val="00A91ACB"/>
    <w:rsid w:val="00A93060"/>
    <w:rsid w:val="00AB59AD"/>
    <w:rsid w:val="00AC0CE7"/>
    <w:rsid w:val="00AD2FD0"/>
    <w:rsid w:val="00AD65B3"/>
    <w:rsid w:val="00AE6533"/>
    <w:rsid w:val="00AE77B7"/>
    <w:rsid w:val="00AE7DE3"/>
    <w:rsid w:val="00AF1721"/>
    <w:rsid w:val="00AF20CA"/>
    <w:rsid w:val="00AF2CFA"/>
    <w:rsid w:val="00AF66E7"/>
    <w:rsid w:val="00B00A85"/>
    <w:rsid w:val="00B00AB5"/>
    <w:rsid w:val="00B06DF7"/>
    <w:rsid w:val="00B11684"/>
    <w:rsid w:val="00B23FB1"/>
    <w:rsid w:val="00B41B20"/>
    <w:rsid w:val="00B432E3"/>
    <w:rsid w:val="00B43418"/>
    <w:rsid w:val="00B70CF9"/>
    <w:rsid w:val="00B85BC2"/>
    <w:rsid w:val="00BA0D8A"/>
    <w:rsid w:val="00BA13FB"/>
    <w:rsid w:val="00BC0559"/>
    <w:rsid w:val="00BC2138"/>
    <w:rsid w:val="00BD3845"/>
    <w:rsid w:val="00BD4FC6"/>
    <w:rsid w:val="00BE35BD"/>
    <w:rsid w:val="00BF4EF4"/>
    <w:rsid w:val="00C06C54"/>
    <w:rsid w:val="00C10ECD"/>
    <w:rsid w:val="00C128CA"/>
    <w:rsid w:val="00C15421"/>
    <w:rsid w:val="00C275AD"/>
    <w:rsid w:val="00C35AE7"/>
    <w:rsid w:val="00C37FC3"/>
    <w:rsid w:val="00C518AA"/>
    <w:rsid w:val="00C5487D"/>
    <w:rsid w:val="00C56110"/>
    <w:rsid w:val="00C57365"/>
    <w:rsid w:val="00C714D7"/>
    <w:rsid w:val="00C77912"/>
    <w:rsid w:val="00C80E40"/>
    <w:rsid w:val="00C82842"/>
    <w:rsid w:val="00C87A04"/>
    <w:rsid w:val="00CB58B5"/>
    <w:rsid w:val="00CC0078"/>
    <w:rsid w:val="00CD3C65"/>
    <w:rsid w:val="00CE3F5A"/>
    <w:rsid w:val="00CF57DD"/>
    <w:rsid w:val="00D13635"/>
    <w:rsid w:val="00D14593"/>
    <w:rsid w:val="00D20882"/>
    <w:rsid w:val="00D25EE5"/>
    <w:rsid w:val="00D271C1"/>
    <w:rsid w:val="00D54137"/>
    <w:rsid w:val="00D64888"/>
    <w:rsid w:val="00D800F7"/>
    <w:rsid w:val="00D870A4"/>
    <w:rsid w:val="00DA5290"/>
    <w:rsid w:val="00DB0112"/>
    <w:rsid w:val="00DB2342"/>
    <w:rsid w:val="00DB682C"/>
    <w:rsid w:val="00DC13AF"/>
    <w:rsid w:val="00DF620B"/>
    <w:rsid w:val="00E02C64"/>
    <w:rsid w:val="00E04A32"/>
    <w:rsid w:val="00E129A8"/>
    <w:rsid w:val="00E129D0"/>
    <w:rsid w:val="00E35A1B"/>
    <w:rsid w:val="00E374A6"/>
    <w:rsid w:val="00E50193"/>
    <w:rsid w:val="00E517A2"/>
    <w:rsid w:val="00E54414"/>
    <w:rsid w:val="00E72BC3"/>
    <w:rsid w:val="00E8101B"/>
    <w:rsid w:val="00E835E8"/>
    <w:rsid w:val="00E861B6"/>
    <w:rsid w:val="00E87D53"/>
    <w:rsid w:val="00E95DE8"/>
    <w:rsid w:val="00E96507"/>
    <w:rsid w:val="00EB5CAF"/>
    <w:rsid w:val="00EC40EA"/>
    <w:rsid w:val="00ED2212"/>
    <w:rsid w:val="00ED24F6"/>
    <w:rsid w:val="00ED5CC5"/>
    <w:rsid w:val="00EE296F"/>
    <w:rsid w:val="00EE3B1C"/>
    <w:rsid w:val="00EE7F4F"/>
    <w:rsid w:val="00EF6DDC"/>
    <w:rsid w:val="00F04F8F"/>
    <w:rsid w:val="00F10900"/>
    <w:rsid w:val="00F240A6"/>
    <w:rsid w:val="00F34B98"/>
    <w:rsid w:val="00F4362C"/>
    <w:rsid w:val="00F44E46"/>
    <w:rsid w:val="00F56989"/>
    <w:rsid w:val="00F711E5"/>
    <w:rsid w:val="00F8324A"/>
    <w:rsid w:val="00F83979"/>
    <w:rsid w:val="00F93C4E"/>
    <w:rsid w:val="00FB2567"/>
    <w:rsid w:val="00FB5AE5"/>
    <w:rsid w:val="00FD08B1"/>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styleId="Refdecomentario">
    <w:name w:val="annotation reference"/>
    <w:basedOn w:val="Fuentedeprrafopredeter"/>
    <w:rsid w:val="00596507"/>
    <w:rPr>
      <w:sz w:val="16"/>
      <w:szCs w:val="16"/>
    </w:rPr>
  </w:style>
  <w:style w:type="paragraph" w:styleId="Textocomentario">
    <w:name w:val="annotation text"/>
    <w:basedOn w:val="Normal"/>
    <w:link w:val="TextocomentarioCar"/>
    <w:rsid w:val="00596507"/>
    <w:rPr>
      <w:sz w:val="20"/>
      <w:szCs w:val="20"/>
    </w:rPr>
  </w:style>
  <w:style w:type="character" w:customStyle="1" w:styleId="TextocomentarioCar">
    <w:name w:val="Texto comentario Car"/>
    <w:basedOn w:val="Fuentedeprrafopredeter"/>
    <w:link w:val="Textocomentario"/>
    <w:rsid w:val="00596507"/>
    <w:rPr>
      <w:lang w:val="es-ES" w:eastAsia="zh-CN"/>
    </w:rPr>
  </w:style>
  <w:style w:type="paragraph" w:styleId="Asuntodelcomentario">
    <w:name w:val="annotation subject"/>
    <w:basedOn w:val="Textocomentario"/>
    <w:next w:val="Textocomentario"/>
    <w:link w:val="AsuntodelcomentarioCar"/>
    <w:rsid w:val="00596507"/>
    <w:rPr>
      <w:b/>
      <w:bCs/>
    </w:rPr>
  </w:style>
  <w:style w:type="character" w:customStyle="1" w:styleId="AsuntodelcomentarioCar">
    <w:name w:val="Asunto del comentario Car"/>
    <w:basedOn w:val="TextocomentarioCar"/>
    <w:link w:val="Asuntodelcomentario"/>
    <w:rsid w:val="00596507"/>
    <w:rPr>
      <w:b/>
      <w:bCs/>
      <w:lang w:val="es-ES" w:eastAsia="zh-CN"/>
    </w:rPr>
  </w:style>
  <w:style w:type="paragraph" w:styleId="Revisin">
    <w:name w:val="Revision"/>
    <w:hidden/>
    <w:uiPriority w:val="99"/>
    <w:semiHidden/>
    <w:rsid w:val="00596507"/>
    <w:rPr>
      <w:sz w:val="24"/>
      <w:szCs w:val="24"/>
      <w:lang w:val="es-ES" w:eastAsia="zh-CN"/>
    </w:rPr>
  </w:style>
  <w:style w:type="paragraph" w:styleId="Textodeglobo">
    <w:name w:val="Balloon Text"/>
    <w:basedOn w:val="Normal"/>
    <w:link w:val="TextodegloboCar"/>
    <w:rsid w:val="00596507"/>
    <w:rPr>
      <w:rFonts w:ascii="Tahoma" w:hAnsi="Tahoma" w:cs="Tahoma"/>
      <w:sz w:val="16"/>
      <w:szCs w:val="16"/>
    </w:rPr>
  </w:style>
  <w:style w:type="character" w:customStyle="1" w:styleId="TextodegloboCar">
    <w:name w:val="Texto de globo Car"/>
    <w:basedOn w:val="Fuentedeprrafopredeter"/>
    <w:link w:val="Textodeglobo"/>
    <w:rsid w:val="00596507"/>
    <w:rPr>
      <w:rFonts w:ascii="Tahoma"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styleId="Refdecomentario">
    <w:name w:val="annotation reference"/>
    <w:basedOn w:val="Fuentedeprrafopredeter"/>
    <w:rsid w:val="00596507"/>
    <w:rPr>
      <w:sz w:val="16"/>
      <w:szCs w:val="16"/>
    </w:rPr>
  </w:style>
  <w:style w:type="paragraph" w:styleId="Textocomentario">
    <w:name w:val="annotation text"/>
    <w:basedOn w:val="Normal"/>
    <w:link w:val="TextocomentarioCar"/>
    <w:rsid w:val="00596507"/>
    <w:rPr>
      <w:sz w:val="20"/>
      <w:szCs w:val="20"/>
    </w:rPr>
  </w:style>
  <w:style w:type="character" w:customStyle="1" w:styleId="TextocomentarioCar">
    <w:name w:val="Texto comentario Car"/>
    <w:basedOn w:val="Fuentedeprrafopredeter"/>
    <w:link w:val="Textocomentario"/>
    <w:rsid w:val="00596507"/>
    <w:rPr>
      <w:lang w:val="es-ES" w:eastAsia="zh-CN"/>
    </w:rPr>
  </w:style>
  <w:style w:type="paragraph" w:styleId="Asuntodelcomentario">
    <w:name w:val="annotation subject"/>
    <w:basedOn w:val="Textocomentario"/>
    <w:next w:val="Textocomentario"/>
    <w:link w:val="AsuntodelcomentarioCar"/>
    <w:rsid w:val="00596507"/>
    <w:rPr>
      <w:b/>
      <w:bCs/>
    </w:rPr>
  </w:style>
  <w:style w:type="character" w:customStyle="1" w:styleId="AsuntodelcomentarioCar">
    <w:name w:val="Asunto del comentario Car"/>
    <w:basedOn w:val="TextocomentarioCar"/>
    <w:link w:val="Asuntodelcomentario"/>
    <w:rsid w:val="00596507"/>
    <w:rPr>
      <w:b/>
      <w:bCs/>
      <w:lang w:val="es-ES" w:eastAsia="zh-CN"/>
    </w:rPr>
  </w:style>
  <w:style w:type="paragraph" w:styleId="Revisin">
    <w:name w:val="Revision"/>
    <w:hidden/>
    <w:uiPriority w:val="99"/>
    <w:semiHidden/>
    <w:rsid w:val="00596507"/>
    <w:rPr>
      <w:sz w:val="24"/>
      <w:szCs w:val="24"/>
      <w:lang w:val="es-ES" w:eastAsia="zh-CN"/>
    </w:rPr>
  </w:style>
  <w:style w:type="paragraph" w:styleId="Textodeglobo">
    <w:name w:val="Balloon Text"/>
    <w:basedOn w:val="Normal"/>
    <w:link w:val="TextodegloboCar"/>
    <w:rsid w:val="00596507"/>
    <w:rPr>
      <w:rFonts w:ascii="Tahoma" w:hAnsi="Tahoma" w:cs="Tahoma"/>
      <w:sz w:val="16"/>
      <w:szCs w:val="16"/>
    </w:rPr>
  </w:style>
  <w:style w:type="character" w:customStyle="1" w:styleId="TextodegloboCar">
    <w:name w:val="Texto de globo Car"/>
    <w:basedOn w:val="Fuentedeprrafopredeter"/>
    <w:link w:val="Textodeglobo"/>
    <w:rsid w:val="00596507"/>
    <w:rPr>
      <w:rFonts w:ascii="Tahoma"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E5664-D45D-4BB1-9557-69D7865D3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2600</Words>
  <Characters>14303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16870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2014-10-30T18:53:00Z</dcterms:created>
  <dcterms:modified xsi:type="dcterms:W3CDTF">2014-10-30T18:53:00Z</dcterms:modified>
</cp:coreProperties>
</file>