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214" w:type="dxa"/>
        <w:tblLayout w:type="fixed"/>
        <w:tblCellMar>
          <w:left w:w="70" w:type="dxa"/>
          <w:right w:w="70" w:type="dxa"/>
        </w:tblCellMar>
        <w:tblLook w:val="0000" w:firstRow="0" w:lastRow="0" w:firstColumn="0" w:lastColumn="0" w:noHBand="0" w:noVBand="0"/>
      </w:tblPr>
      <w:tblGrid>
        <w:gridCol w:w="142"/>
        <w:gridCol w:w="8647"/>
        <w:gridCol w:w="851"/>
      </w:tblGrid>
      <w:tr w:rsidR="00883C34" w:rsidRPr="002D578A" w:rsidTr="00883C34">
        <w:tc>
          <w:tcPr>
            <w:tcW w:w="8789" w:type="dxa"/>
            <w:gridSpan w:val="2"/>
            <w:noWrap/>
          </w:tcPr>
          <w:p w:rsidR="00883C34" w:rsidRPr="002D578A" w:rsidRDefault="00883C34" w:rsidP="00B611D7">
            <w:pPr>
              <w:pStyle w:val="Texto"/>
              <w:spacing w:after="0" w:line="240" w:lineRule="auto"/>
              <w:ind w:firstLine="0"/>
              <w:contextualSpacing/>
              <w:jc w:val="center"/>
              <w:rPr>
                <w:rFonts w:ascii="Times New Roman" w:hAnsi="Times New Roman" w:cs="Times New Roman"/>
                <w:b/>
                <w:sz w:val="26"/>
                <w:szCs w:val="26"/>
              </w:rPr>
            </w:pPr>
            <w:r w:rsidRPr="002D578A">
              <w:rPr>
                <w:rFonts w:ascii="Times New Roman" w:hAnsi="Times New Roman" w:cs="Times New Roman"/>
                <w:b/>
                <w:sz w:val="26"/>
                <w:szCs w:val="26"/>
              </w:rPr>
              <w:t xml:space="preserve">B-4 </w:t>
            </w:r>
            <w:r w:rsidRPr="00D24A06">
              <w:rPr>
                <w:rFonts w:ascii="Times New Roman" w:hAnsi="Times New Roman" w:cs="Times New Roman"/>
                <w:b/>
                <w:sz w:val="26"/>
                <w:szCs w:val="26"/>
                <w:u w:val="single"/>
              </w:rPr>
              <w:t>CARTERA DE CRÉDITO</w:t>
            </w:r>
          </w:p>
          <w:p w:rsidR="00883C34" w:rsidRPr="002D578A" w:rsidRDefault="00883C34" w:rsidP="00B611D7">
            <w:pPr>
              <w:pStyle w:val="Texto"/>
              <w:spacing w:after="0" w:line="240" w:lineRule="auto"/>
              <w:ind w:firstLine="0"/>
              <w:contextualSpacing/>
              <w:jc w:val="center"/>
              <w:rPr>
                <w:rFonts w:ascii="Times New Roman" w:hAnsi="Times New Roman" w:cs="Times New Roman"/>
                <w:b/>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b/>
                <w:sz w:val="26"/>
                <w:szCs w:val="26"/>
              </w:rPr>
            </w:pPr>
            <w:r w:rsidRPr="002D578A">
              <w:rPr>
                <w:rFonts w:ascii="Times New Roman" w:hAnsi="Times New Roman" w:cs="Times New Roman"/>
                <w:b/>
                <w:sz w:val="26"/>
                <w:szCs w:val="26"/>
              </w:rPr>
              <w:t>Objetivo y alcance</w:t>
            </w:r>
          </w:p>
          <w:p w:rsidR="00883C34" w:rsidRPr="002D578A" w:rsidRDefault="00883C34" w:rsidP="00B611D7">
            <w:pPr>
              <w:pStyle w:val="Texto"/>
              <w:spacing w:after="0" w:line="240" w:lineRule="auto"/>
              <w:ind w:firstLine="0"/>
              <w:contextualSpacing/>
              <w:rPr>
                <w:rFonts w:ascii="Times New Roman" w:hAnsi="Times New Roman" w:cs="Times New Roman"/>
                <w:b/>
                <w:sz w:val="26"/>
                <w:szCs w:val="26"/>
              </w:rPr>
            </w:pPr>
          </w:p>
        </w:tc>
        <w:tc>
          <w:tcPr>
            <w:tcW w:w="851" w:type="dxa"/>
          </w:tcPr>
          <w:p w:rsidR="00883C34" w:rsidRPr="00883C34" w:rsidRDefault="00883C34" w:rsidP="00883C34">
            <w:pPr>
              <w:pStyle w:val="Texto"/>
              <w:spacing w:after="0" w:line="240" w:lineRule="auto"/>
              <w:ind w:left="360" w:firstLine="0"/>
              <w:contextualSpacing/>
              <w:jc w:val="right"/>
              <w:rPr>
                <w:rFonts w:ascii="Times New Roman" w:hAnsi="Times New Roman" w:cs="Times New Roman"/>
                <w:b/>
                <w:sz w:val="20"/>
              </w:rPr>
            </w:pPr>
          </w:p>
        </w:tc>
      </w:tr>
      <w:tr w:rsidR="00883C34" w:rsidRPr="002D578A" w:rsidTr="00883C34">
        <w:tc>
          <w:tcPr>
            <w:tcW w:w="8789" w:type="dxa"/>
            <w:gridSpan w:val="2"/>
          </w:tcPr>
          <w:p w:rsidR="00883C34" w:rsidRPr="002D578A" w:rsidRDefault="00883C34" w:rsidP="005A19DA">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El presente criterio tiene por objetivo definir las normas particulares relativas al reconocimiento, valuación, presentación y revelación en los estados financieros de la cartera de crédito de las entidades.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Este criterio también incluye los lineamientos contables relativos a la estimación preventiva para riesgos crediticios.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No son objeto de este criterio: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numPr>
                <w:ilvl w:val="1"/>
                <w:numId w:val="124"/>
              </w:numPr>
              <w:spacing w:after="0" w:line="240" w:lineRule="auto"/>
              <w:ind w:left="498" w:hanging="426"/>
              <w:contextualSpacing/>
              <w:rPr>
                <w:rFonts w:ascii="Times New Roman" w:hAnsi="Times New Roman" w:cs="Times New Roman"/>
                <w:sz w:val="26"/>
                <w:szCs w:val="26"/>
              </w:rPr>
            </w:pPr>
            <w:r w:rsidRPr="002D578A">
              <w:rPr>
                <w:rFonts w:ascii="Times New Roman" w:hAnsi="Times New Roman" w:cs="Times New Roman"/>
                <w:sz w:val="26"/>
                <w:szCs w:val="26"/>
              </w:rPr>
              <w:t>El establecimiento de la metodología para la calificación y constitución de la estimación preventiva para riesgos crediticios.</w:t>
            </w:r>
          </w:p>
          <w:p w:rsidR="00883C34" w:rsidRPr="002D578A" w:rsidRDefault="00883C34" w:rsidP="00B611D7">
            <w:pPr>
              <w:pStyle w:val="Texto"/>
              <w:numPr>
                <w:ilvl w:val="1"/>
                <w:numId w:val="124"/>
              </w:numPr>
              <w:spacing w:after="0" w:line="240" w:lineRule="auto"/>
              <w:ind w:left="498" w:hanging="426"/>
              <w:contextualSpacing/>
              <w:rPr>
                <w:rFonts w:ascii="Times New Roman" w:hAnsi="Times New Roman" w:cs="Times New Roman"/>
                <w:sz w:val="26"/>
                <w:szCs w:val="26"/>
              </w:rPr>
            </w:pPr>
            <w:r w:rsidRPr="002D578A">
              <w:rPr>
                <w:rFonts w:ascii="Times New Roman" w:hAnsi="Times New Roman" w:cs="Times New Roman"/>
                <w:sz w:val="26"/>
                <w:szCs w:val="26"/>
              </w:rPr>
              <w:t>Las normas contables relativas a valores emitidos en serie o en masa, que se cotizan en mercados reconocidos y que la entidad mantenga en posición propia, aún y cuando se encuentren vinculados con operaciones de crédito, siendo materia del criterio B-2 “Inversiones en valores”.</w:t>
            </w:r>
          </w:p>
          <w:p w:rsidR="00883C34" w:rsidRPr="002D578A" w:rsidRDefault="00883C34" w:rsidP="00B611D7">
            <w:pPr>
              <w:pStyle w:val="Texto"/>
              <w:spacing w:after="0" w:line="240" w:lineRule="auto"/>
              <w:ind w:hanging="486"/>
              <w:contextualSpacing/>
              <w:rPr>
                <w:rFonts w:ascii="Times New Roman" w:hAnsi="Times New Roman" w:cs="Times New Roman"/>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b/>
                <w:sz w:val="26"/>
                <w:szCs w:val="26"/>
              </w:rPr>
            </w:pPr>
            <w:r w:rsidRPr="002D578A">
              <w:rPr>
                <w:rFonts w:ascii="Times New Roman" w:hAnsi="Times New Roman" w:cs="Times New Roman"/>
                <w:b/>
                <w:sz w:val="26"/>
                <w:szCs w:val="26"/>
              </w:rPr>
              <w:t>Definiciones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cs="Times New Roman"/>
                <w:sz w:val="26"/>
                <w:szCs w:val="26"/>
              </w:rPr>
            </w:pPr>
            <w:r>
              <w:rPr>
                <w:rFonts w:ascii="Times New Roman" w:hAnsi="Times New Roman" w:cs="Times New Roman"/>
                <w:i/>
                <w:sz w:val="26"/>
                <w:szCs w:val="26"/>
              </w:rPr>
              <w:t>Acreditado.-</w:t>
            </w:r>
            <w:r>
              <w:rPr>
                <w:rFonts w:ascii="Times New Roman" w:hAnsi="Times New Roman" w:cs="Times New Roman"/>
                <w:sz w:val="26"/>
                <w:szCs w:val="26"/>
              </w:rPr>
              <w:t xml:space="preserve"> La persona física o moral, </w:t>
            </w:r>
            <w:r w:rsidRPr="00DE6687">
              <w:rPr>
                <w:rFonts w:ascii="Times New Roman" w:hAnsi="Times New Roman" w:cs="Times New Roman"/>
                <w:sz w:val="26"/>
                <w:szCs w:val="26"/>
              </w:rPr>
              <w:t>o fideicomiso</w:t>
            </w:r>
            <w:r>
              <w:rPr>
                <w:rFonts w:ascii="Times New Roman" w:hAnsi="Times New Roman" w:cs="Times New Roman"/>
                <w:sz w:val="26"/>
                <w:szCs w:val="26"/>
              </w:rPr>
              <w:t xml:space="preserve"> a quien le es otorgado un crédito.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cs="Times New Roman"/>
                <w:sz w:val="26"/>
                <w:szCs w:val="26"/>
              </w:rPr>
            </w:pPr>
            <w:r>
              <w:rPr>
                <w:rFonts w:ascii="Times New Roman" w:hAnsi="Times New Roman" w:cs="Times New Roman"/>
                <w:i/>
                <w:sz w:val="26"/>
                <w:szCs w:val="26"/>
              </w:rPr>
              <w:t xml:space="preserve">Aforo.- </w:t>
            </w:r>
            <w:r>
              <w:rPr>
                <w:rFonts w:ascii="Times New Roman" w:hAnsi="Times New Roman" w:cs="Times New Roman"/>
                <w:sz w:val="26"/>
                <w:szCs w:val="26"/>
              </w:rPr>
              <w:t>El importe del valor nominal de los derechos de crédito transferidos en una operación de factoraje financiero, que la factorante no financia al factorado y que está obligada a entregar a este último, una vez que se lleva a cabo el cobro de la cartera objeto de factoraje.</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t>Arrendamiento capitalizable</w:t>
            </w:r>
            <w:r w:rsidRPr="002D578A">
              <w:rPr>
                <w:rFonts w:ascii="Times New Roman" w:hAnsi="Times New Roman" w:cs="Times New Roman"/>
                <w:sz w:val="26"/>
                <w:szCs w:val="26"/>
              </w:rPr>
              <w:t>.- Un arrendamiento que transfiere substancialmente todos los riesgos y beneficios inherentes a la propiedad de un activo.</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5A19DA">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t>Calificación de cartera</w:t>
            </w:r>
            <w:r w:rsidRPr="002D578A">
              <w:rPr>
                <w:rFonts w:ascii="Times New Roman" w:hAnsi="Times New Roman" w:cs="Times New Roman"/>
                <w:sz w:val="26"/>
                <w:szCs w:val="26"/>
              </w:rPr>
              <w:t>.- Metodología utilizada por las entidades para reconocer el riesgo crediticio asociado a los créditos otorgados por las mismas.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 xml:space="preserve">Cartera vencida.- </w:t>
            </w:r>
            <w:r w:rsidRPr="00D24A06">
              <w:rPr>
                <w:rFonts w:ascii="Times New Roman" w:hAnsi="Times New Roman" w:cs="Times New Roman"/>
                <w:sz w:val="26"/>
                <w:szCs w:val="26"/>
              </w:rPr>
              <w:t>Aquella compuesta por créditos cuyos acreditados son declarados en concurso mercantil, o bien, cuyo principal, intereses o ambos, no han sido liquidados en los términos pactados originalmente, considerando al efecto lo establecido en los párrafos 6</w:t>
            </w:r>
            <w:r>
              <w:rPr>
                <w:rFonts w:ascii="Times New Roman" w:hAnsi="Times New Roman" w:cs="Times New Roman"/>
                <w:sz w:val="26"/>
                <w:szCs w:val="26"/>
              </w:rPr>
              <w:t>0</w:t>
            </w:r>
            <w:r w:rsidRPr="00D24A06">
              <w:rPr>
                <w:rFonts w:ascii="Times New Roman" w:hAnsi="Times New Roman" w:cs="Times New Roman"/>
                <w:sz w:val="26"/>
                <w:szCs w:val="26"/>
              </w:rPr>
              <w:t xml:space="preserve"> a 7</w:t>
            </w:r>
            <w:r>
              <w:rPr>
                <w:rFonts w:ascii="Times New Roman" w:hAnsi="Times New Roman" w:cs="Times New Roman"/>
                <w:sz w:val="26"/>
                <w:szCs w:val="26"/>
              </w:rPr>
              <w:t>3</w:t>
            </w:r>
            <w:r w:rsidRPr="00D24A06">
              <w:rPr>
                <w:rFonts w:ascii="Times New Roman" w:hAnsi="Times New Roman" w:cs="Times New Roman"/>
                <w:sz w:val="26"/>
                <w:szCs w:val="26"/>
              </w:rPr>
              <w:t xml:space="preserve"> del presente criterio.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Cartera vigente.-</w:t>
            </w:r>
            <w:r w:rsidRPr="00D24A06">
              <w:rPr>
                <w:rFonts w:ascii="Times New Roman" w:hAnsi="Times New Roman" w:cs="Times New Roman"/>
                <w:sz w:val="26"/>
                <w:szCs w:val="26"/>
              </w:rPr>
              <w:t xml:space="preserve"> La integrada por los créditos que están al corriente en sus pagos tanto de principal como de intereses, así como por aquellos créditos con pagos de </w:t>
            </w:r>
            <w:r w:rsidRPr="00D24A06">
              <w:rPr>
                <w:rFonts w:ascii="Times New Roman" w:hAnsi="Times New Roman" w:cs="Times New Roman"/>
                <w:sz w:val="26"/>
                <w:szCs w:val="26"/>
              </w:rPr>
              <w:lastRenderedPageBreak/>
              <w:t>principal o intereses vencidos que no se han ubicado en los supuestos previstos en el presente criterio para considerarlos como vencidos, y los que habiéndose clasificado como cartera vencida se reestructuren o renueven y cuenten con evidencia de pago sostenido conforme a lo establecido en el presente criterio.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lastRenderedPageBreak/>
              <w:t xml:space="preserve">Castigo.- </w:t>
            </w:r>
            <w:r w:rsidRPr="00D24A06">
              <w:rPr>
                <w:rFonts w:ascii="Times New Roman" w:hAnsi="Times New Roman" w:cs="Times New Roman"/>
                <w:sz w:val="26"/>
                <w:szCs w:val="26"/>
              </w:rPr>
              <w:t>Es la cancelación del crédito cuando existe evidencia de que se han agotado las gestiones formales de cobro o determinado la imposibilidad práctica de recuperación del crédito.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 xml:space="preserve">Comisión por el otorgamiento del crédito.- </w:t>
            </w:r>
            <w:r w:rsidRPr="00D24A06">
              <w:rPr>
                <w:rFonts w:ascii="Times New Roman" w:hAnsi="Times New Roman" w:cs="Times New Roman"/>
                <w:sz w:val="26"/>
                <w:szCs w:val="26"/>
              </w:rPr>
              <w:t>Existe cuando la entidad y el acreditado han pactado desde la fecha en que se concertó el crédito, el cobro de una cuota monetaria de recuperación por los costos o gastos incurridos para otorgar el crédito con independencia del momento en el que se realicen las disposiciones del mismo. Asimismo, se consideran parte de estas comisiones a las cobradas por reestructuración o renovación de créditos.</w:t>
            </w: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 xml:space="preserve">Consolidación de créditos.- </w:t>
            </w:r>
            <w:r w:rsidRPr="00D24A06">
              <w:rPr>
                <w:rFonts w:ascii="Times New Roman" w:hAnsi="Times New Roman" w:cs="Times New Roman"/>
                <w:sz w:val="26"/>
                <w:szCs w:val="26"/>
              </w:rPr>
              <w:t>Es la integración en un solo crédito, de dos o más créditos otorgados por la misma entidad a un mismo acreditado.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bCs/>
                <w:iCs/>
                <w:sz w:val="26"/>
                <w:szCs w:val="26"/>
              </w:rPr>
            </w:pPr>
            <w:r w:rsidRPr="00D24A06">
              <w:rPr>
                <w:rFonts w:ascii="Times New Roman" w:hAnsi="Times New Roman" w:cs="Times New Roman"/>
                <w:i/>
                <w:sz w:val="26"/>
                <w:szCs w:val="26"/>
              </w:rPr>
              <w:t xml:space="preserve">Costo amortizado.- </w:t>
            </w:r>
            <w:r w:rsidRPr="00D24A06">
              <w:rPr>
                <w:rFonts w:ascii="Times New Roman" w:hAnsi="Times New Roman" w:cs="Times New Roman"/>
                <w:iCs/>
                <w:sz w:val="26"/>
                <w:szCs w:val="26"/>
              </w:rPr>
              <w:t>Para efectos de este criterio</w:t>
            </w:r>
            <w:r w:rsidRPr="00D24A06">
              <w:rPr>
                <w:rFonts w:ascii="Times New Roman" w:hAnsi="Times New Roman" w:cs="Times New Roman"/>
                <w:i/>
                <w:sz w:val="26"/>
                <w:szCs w:val="26"/>
              </w:rPr>
              <w:t xml:space="preserve">, </w:t>
            </w:r>
            <w:r w:rsidRPr="00D24A06">
              <w:rPr>
                <w:rFonts w:ascii="Times New Roman" w:hAnsi="Times New Roman" w:cs="Times New Roman"/>
                <w:iCs/>
                <w:sz w:val="26"/>
                <w:szCs w:val="26"/>
              </w:rPr>
              <w:t>es el método de valuación que integra</w:t>
            </w:r>
            <w:r w:rsidRPr="00D24A06">
              <w:rPr>
                <w:rFonts w:ascii="Times New Roman" w:hAnsi="Times New Roman" w:cs="Times New Roman"/>
                <w:bCs/>
                <w:iCs/>
                <w:sz w:val="26"/>
                <w:szCs w:val="26"/>
              </w:rPr>
              <w:t xml:space="preserve"> el monto efectivamente otorgado al acreditado, ajustado por los intereses devengados que hayan sido reconocidos de acuerdo a lo establecido en el presente criterio, el seguro que, en su caso, se hubiera financiado, los cobros de principal e intereses, así como por las quitas, condonaciones, bonificaciones y descuentos que se hayan otorgado.</w:t>
            </w: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 xml:space="preserve">Crédito.- </w:t>
            </w:r>
            <w:r w:rsidRPr="00D24A06">
              <w:rPr>
                <w:rFonts w:ascii="Times New Roman" w:hAnsi="Times New Roman" w:cs="Times New Roman"/>
                <w:sz w:val="26"/>
                <w:szCs w:val="26"/>
              </w:rPr>
              <w:t>Activo resultante del financiamiento que otorgan las entidades con base en lo establecido en las disposiciones legales aplicables.</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Créditos a la vivienda</w:t>
            </w:r>
            <w:r w:rsidRPr="00D24A06">
              <w:rPr>
                <w:rFonts w:ascii="Times New Roman" w:hAnsi="Times New Roman" w:cs="Times New Roman"/>
                <w:sz w:val="26"/>
                <w:szCs w:val="26"/>
              </w:rPr>
              <w:t>.- A los créditos directos denominados en moneda nacional o en unidades de inversión (UDIS), así como los intereses que generen, otorgados a personas físicas y destinados a la adquisición</w:t>
            </w:r>
            <w:r w:rsidR="00FB7170">
              <w:rPr>
                <w:rFonts w:ascii="Times New Roman" w:hAnsi="Times New Roman" w:cs="Times New Roman"/>
                <w:sz w:val="26"/>
                <w:szCs w:val="26"/>
              </w:rPr>
              <w:t>,</w:t>
            </w:r>
            <w:r w:rsidRPr="00D24A06">
              <w:rPr>
                <w:rFonts w:ascii="Times New Roman" w:hAnsi="Times New Roman" w:cs="Times New Roman"/>
                <w:sz w:val="26"/>
                <w:szCs w:val="26"/>
              </w:rPr>
              <w:t xml:space="preserve"> construcción</w:t>
            </w:r>
            <w:r w:rsidR="00FB7170">
              <w:rPr>
                <w:rFonts w:ascii="Times New Roman" w:hAnsi="Times New Roman" w:cs="Times New Roman"/>
                <w:sz w:val="26"/>
                <w:szCs w:val="26"/>
              </w:rPr>
              <w:t>, remodelación o mejoramiento</w:t>
            </w:r>
            <w:r w:rsidRPr="00D24A06">
              <w:rPr>
                <w:rFonts w:ascii="Times New Roman" w:hAnsi="Times New Roman" w:cs="Times New Roman"/>
                <w:sz w:val="26"/>
                <w:szCs w:val="26"/>
              </w:rPr>
              <w:t xml:space="preserve"> de </w:t>
            </w:r>
            <w:r w:rsidR="00FB7170">
              <w:rPr>
                <w:rFonts w:ascii="Times New Roman" w:hAnsi="Times New Roman" w:cs="Times New Roman"/>
                <w:sz w:val="26"/>
                <w:szCs w:val="26"/>
              </w:rPr>
              <w:t xml:space="preserve">la </w:t>
            </w:r>
            <w:r w:rsidRPr="00D24A06">
              <w:rPr>
                <w:rFonts w:ascii="Times New Roman" w:hAnsi="Times New Roman" w:cs="Times New Roman"/>
                <w:sz w:val="26"/>
                <w:szCs w:val="26"/>
              </w:rPr>
              <w:t xml:space="preserve">vivienda sin propósito de especulación comercial que cuenten con garantía </w:t>
            </w:r>
            <w:r w:rsidR="00FB7170">
              <w:rPr>
                <w:rFonts w:ascii="Times New Roman" w:hAnsi="Times New Roman" w:cs="Times New Roman"/>
                <w:sz w:val="26"/>
                <w:szCs w:val="26"/>
              </w:rPr>
              <w:t>hipotecaria sobre la vivienda del acreditado</w:t>
            </w:r>
            <w:r w:rsidRPr="00D24A06">
              <w:rPr>
                <w:rFonts w:ascii="Times New Roman" w:hAnsi="Times New Roman" w:cs="Times New Roman"/>
                <w:sz w:val="26"/>
                <w:szCs w:val="26"/>
              </w:rPr>
              <w:t>; incluyendo los otorgados para tales efectos a los ex-empleados de las entidades y aquellos créditos de liquidez garantizados por la vivienda del acreditado.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iCs/>
                <w:sz w:val="26"/>
                <w:szCs w:val="26"/>
              </w:rPr>
              <w:t xml:space="preserve">Créditos comerciales.- </w:t>
            </w:r>
            <w:r w:rsidRPr="00D24A06">
              <w:rPr>
                <w:rFonts w:ascii="Times New Roman" w:hAnsi="Times New Roman" w:cs="Times New Roman"/>
                <w:sz w:val="26"/>
                <w:szCs w:val="26"/>
              </w:rPr>
              <w:t xml:space="preserve">A los créditos directos o contingentes, incluyendo créditos puente denominados en moneda nacional o en UDIS, los microcréditos, así como los intereses que generen, otorgados a personas morales o personas físicas con actividad empresarial y destinados a su giro comercial; a los créditos por operaciones de factoraje financiero y a los créditos por operaciones de arrendamiento capitalizable que sean celebradas con dichas personas morales o </w:t>
            </w:r>
            <w:r w:rsidRPr="00D24A06">
              <w:rPr>
                <w:rFonts w:ascii="Times New Roman" w:hAnsi="Times New Roman" w:cs="Times New Roman"/>
                <w:sz w:val="26"/>
                <w:szCs w:val="26"/>
              </w:rPr>
              <w:lastRenderedPageBreak/>
              <w:t>físicas; los créditos otorgados a fiduciarios que actúen al amparo de fideicomisos y los esquemas de crédito comúnmente conocidos como “estructurados” en los que exista una afectación patrimonial que permita evaluar individualmente el riesgo asociado al esquema. Asimismo, quedarán comprendidos los préstamos de liquidez otorgados a otras sociedades financieras populares o comunitarias de conformidad con la legislación aplicable.</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iCs/>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lastRenderedPageBreak/>
              <w:t>Créditos de consumo</w:t>
            </w:r>
            <w:r w:rsidRPr="00D24A06">
              <w:rPr>
                <w:rFonts w:ascii="Times New Roman" w:hAnsi="Times New Roman" w:cs="Times New Roman"/>
                <w:sz w:val="26"/>
                <w:szCs w:val="26"/>
              </w:rPr>
              <w:t>.- A los créditos directos, incluyendo los de liquidez que no cuenten con garantía de inmuebles, denominados en moneda nacional o en UDIS, así como los intereses que generen, otorgados a personas físicas, derivados de operaciones de tarjeta de crédito, de créditos personales, de nómina (distintos a los otorgados mediante tarjeta de crédito), de créditos para la adquisición de bienes de consumo duradero (conocidos como ABCD), que contempla entre otros al crédito automotriz y las operaciones de arrendamiento capitalizable que sean celebradas con personas físicas; incluyendo aquellos créditos otorgados para tales efectos a los ex-empleados de las entidades.</w:t>
            </w: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i/>
                <w:sz w:val="26"/>
                <w:szCs w:val="26"/>
              </w:rPr>
              <w:t xml:space="preserve">Deudor de los derechos de crédito objeto de factoraje financiero.- </w:t>
            </w:r>
            <w:r w:rsidRPr="00D24A06">
              <w:rPr>
                <w:rFonts w:ascii="Times New Roman" w:hAnsi="Times New Roman" w:cs="Times New Roman"/>
                <w:sz w:val="26"/>
                <w:szCs w:val="26"/>
              </w:rPr>
              <w:t>La persona física o moral a quien originalmente le son exigibles los derechos de crédito transferidos del factorado al factorante en una operación de factoraje financiero.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cs="Times New Roman"/>
                <w:sz w:val="26"/>
                <w:szCs w:val="26"/>
              </w:rPr>
            </w:pPr>
            <w:r w:rsidRPr="00883C34">
              <w:rPr>
                <w:rFonts w:ascii="Times New Roman" w:hAnsi="Times New Roman" w:cs="Times New Roman"/>
                <w:i/>
                <w:sz w:val="26"/>
                <w:szCs w:val="26"/>
              </w:rPr>
              <w:t xml:space="preserve">Estimación preventiva para riesgos crediticios.- </w:t>
            </w:r>
            <w:r w:rsidRPr="00883C34">
              <w:rPr>
                <w:rFonts w:ascii="Times New Roman" w:hAnsi="Times New Roman" w:cs="Times New Roman"/>
                <w:sz w:val="26"/>
                <w:szCs w:val="26"/>
              </w:rPr>
              <w:t>Afectación que se realiza contra los resultados del ejercicio y que mide aquella porción del crédito que se estima no tendrá viabilidad de cobro.</w:t>
            </w: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D24A06" w:rsidTr="00883C34">
        <w:tc>
          <w:tcPr>
            <w:tcW w:w="8789" w:type="dxa"/>
            <w:gridSpan w:val="2"/>
          </w:tcPr>
          <w:p w:rsidR="00883C34" w:rsidRPr="00D24A06" w:rsidRDefault="00883C34">
            <w:pPr>
              <w:ind w:right="-17"/>
              <w:contextualSpacing/>
              <w:jc w:val="both"/>
              <w:rPr>
                <w:sz w:val="26"/>
                <w:szCs w:val="26"/>
              </w:rPr>
            </w:pPr>
            <w:r w:rsidRPr="00D24A06">
              <w:rPr>
                <w:i/>
                <w:sz w:val="26"/>
                <w:szCs w:val="26"/>
              </w:rPr>
              <w:t xml:space="preserve">Factorado.- </w:t>
            </w:r>
            <w:r w:rsidRPr="00D24A06">
              <w:rPr>
                <w:sz w:val="26"/>
                <w:szCs w:val="26"/>
              </w:rPr>
              <w:t>La persona física o moral que transfiere los derechos de crédito que tenga a su favor, cuya obligación de pago está a cargo del deudor de los derechos de crédito objeto de factoraje financiero.</w:t>
            </w:r>
          </w:p>
          <w:p w:rsidR="00883C34" w:rsidRPr="00D24A06" w:rsidRDefault="00883C34">
            <w:pPr>
              <w:ind w:right="-17"/>
              <w:contextualSpacing/>
              <w:jc w:val="both"/>
              <w:rPr>
                <w:rFonts w:eastAsia="Times New Roman"/>
                <w:i/>
                <w:sz w:val="26"/>
                <w:szCs w:val="26"/>
                <w:lang w:eastAsia="es-ES"/>
              </w:rPr>
            </w:pPr>
          </w:p>
        </w:tc>
        <w:tc>
          <w:tcPr>
            <w:tcW w:w="851" w:type="dxa"/>
          </w:tcPr>
          <w:p w:rsidR="00883C34" w:rsidRPr="00883C34" w:rsidRDefault="00883C34" w:rsidP="00883C34">
            <w:pPr>
              <w:pStyle w:val="Prrafodelista"/>
              <w:numPr>
                <w:ilvl w:val="0"/>
                <w:numId w:val="137"/>
              </w:numPr>
              <w:ind w:right="-17"/>
              <w:jc w:val="right"/>
              <w:rPr>
                <w:sz w:val="20"/>
                <w:szCs w:val="20"/>
              </w:rPr>
            </w:pPr>
          </w:p>
        </w:tc>
      </w:tr>
      <w:tr w:rsidR="00883C34" w:rsidRPr="00D24A06" w:rsidTr="00883C34">
        <w:tc>
          <w:tcPr>
            <w:tcW w:w="8789" w:type="dxa"/>
            <w:gridSpan w:val="2"/>
          </w:tcPr>
          <w:p w:rsidR="00883C34" w:rsidRPr="00D24A06" w:rsidRDefault="00883C34" w:rsidP="002A20FD">
            <w:pPr>
              <w:ind w:right="-17"/>
              <w:contextualSpacing/>
              <w:jc w:val="both"/>
              <w:rPr>
                <w:sz w:val="26"/>
                <w:szCs w:val="26"/>
              </w:rPr>
            </w:pPr>
            <w:r w:rsidRPr="00D24A06">
              <w:rPr>
                <w:i/>
                <w:sz w:val="26"/>
                <w:szCs w:val="26"/>
              </w:rPr>
              <w:t xml:space="preserve">Factoraje financiero.- </w:t>
            </w:r>
            <w:r w:rsidRPr="00D24A06">
              <w:rPr>
                <w:sz w:val="26"/>
                <w:szCs w:val="26"/>
              </w:rPr>
              <w:t>Operación por virtud de la cual el factorante conviene con el factorado, quien podrá ser persona física o moral, en adquirir derechos de crédito que este último tenga a su favor por un precio determinado o determinable, en moneda nacional, extranjera o UDIS, independientemente de la fecha y la forma en que se pague, pudiendo pactarse que el factorado quede obligado a responder del pago puntual y oportuno de los derechos de crédito transmitidos al factorante.</w:t>
            </w:r>
          </w:p>
          <w:p w:rsidR="00883C34" w:rsidRPr="00D24A06" w:rsidRDefault="00883C34" w:rsidP="002A20FD">
            <w:pPr>
              <w:ind w:right="-17"/>
              <w:contextualSpacing/>
              <w:jc w:val="both"/>
              <w:rPr>
                <w:rFonts w:eastAsia="Times New Roman"/>
                <w:i/>
                <w:sz w:val="26"/>
                <w:szCs w:val="26"/>
                <w:lang w:eastAsia="es-ES"/>
              </w:rPr>
            </w:pPr>
          </w:p>
        </w:tc>
        <w:tc>
          <w:tcPr>
            <w:tcW w:w="851" w:type="dxa"/>
          </w:tcPr>
          <w:p w:rsidR="00883C34" w:rsidRPr="00883C34" w:rsidRDefault="00883C34" w:rsidP="00883C34">
            <w:pPr>
              <w:pStyle w:val="Prrafodelista"/>
              <w:numPr>
                <w:ilvl w:val="0"/>
                <w:numId w:val="137"/>
              </w:numPr>
              <w:ind w:right="-17"/>
              <w:jc w:val="right"/>
              <w:rPr>
                <w:sz w:val="20"/>
                <w:szCs w:val="20"/>
              </w:rPr>
            </w:pPr>
          </w:p>
        </w:tc>
      </w:tr>
      <w:tr w:rsidR="00883C34" w:rsidRPr="002D578A" w:rsidTr="00883C34">
        <w:tc>
          <w:tcPr>
            <w:tcW w:w="8789" w:type="dxa"/>
            <w:gridSpan w:val="2"/>
          </w:tcPr>
          <w:p w:rsidR="00883C34" w:rsidRPr="00D24A06" w:rsidRDefault="00883C34" w:rsidP="002A20FD">
            <w:pPr>
              <w:ind w:right="-17"/>
              <w:contextualSpacing/>
              <w:jc w:val="both"/>
              <w:rPr>
                <w:sz w:val="26"/>
                <w:szCs w:val="26"/>
              </w:rPr>
            </w:pPr>
            <w:r w:rsidRPr="00D24A06">
              <w:rPr>
                <w:i/>
                <w:sz w:val="26"/>
                <w:szCs w:val="26"/>
              </w:rPr>
              <w:t>Factorante.-</w:t>
            </w:r>
            <w:r w:rsidRPr="00D24A06">
              <w:rPr>
                <w:sz w:val="26"/>
                <w:szCs w:val="26"/>
              </w:rPr>
              <w:t xml:space="preserve"> La entidad que adquiere los derechos de crédito a favor del factorado.</w:t>
            </w:r>
          </w:p>
          <w:p w:rsidR="00883C34" w:rsidRPr="00D24A06" w:rsidRDefault="00883C34" w:rsidP="002A20FD">
            <w:pPr>
              <w:ind w:right="-17"/>
              <w:contextualSpacing/>
              <w:jc w:val="both"/>
              <w:rPr>
                <w:rFonts w:eastAsia="Times New Roman"/>
                <w:i/>
                <w:sz w:val="26"/>
                <w:szCs w:val="26"/>
                <w:lang w:eastAsia="es-ES"/>
              </w:rPr>
            </w:pPr>
          </w:p>
        </w:tc>
        <w:tc>
          <w:tcPr>
            <w:tcW w:w="851" w:type="dxa"/>
          </w:tcPr>
          <w:p w:rsidR="00883C34" w:rsidRPr="00883C34" w:rsidRDefault="00883C34" w:rsidP="00883C34">
            <w:pPr>
              <w:pStyle w:val="Prrafodelista"/>
              <w:numPr>
                <w:ilvl w:val="0"/>
                <w:numId w:val="137"/>
              </w:numPr>
              <w:ind w:right="-17"/>
              <w:jc w:val="right"/>
              <w:rPr>
                <w:sz w:val="20"/>
                <w:szCs w:val="20"/>
              </w:rPr>
            </w:pPr>
          </w:p>
        </w:tc>
      </w:tr>
      <w:tr w:rsidR="00883C34" w:rsidRPr="002D578A" w:rsidTr="00883C34">
        <w:tc>
          <w:tcPr>
            <w:tcW w:w="8789" w:type="dxa"/>
            <w:gridSpan w:val="2"/>
          </w:tcPr>
          <w:p w:rsidR="00883C34" w:rsidRDefault="00883C34" w:rsidP="002A20FD">
            <w:pPr>
              <w:ind w:right="-17"/>
              <w:contextualSpacing/>
              <w:jc w:val="both"/>
              <w:rPr>
                <w:sz w:val="26"/>
                <w:szCs w:val="26"/>
              </w:rPr>
            </w:pPr>
            <w:r w:rsidRPr="00D24A06">
              <w:rPr>
                <w:i/>
                <w:sz w:val="26"/>
                <w:szCs w:val="26"/>
              </w:rPr>
              <w:t>Línea de crédito.-</w:t>
            </w:r>
            <w:r w:rsidRPr="00D24A06">
              <w:rPr>
                <w:sz w:val="26"/>
                <w:szCs w:val="26"/>
              </w:rPr>
              <w:t xml:space="preserve"> Monto de dinero puesto a disposición del cliente por parte de la entidad, por un periodo de tiempo determinado, incluyendo las líneas de sobregiro en depósitos de exigibilidad inmediata.</w:t>
            </w:r>
          </w:p>
          <w:p w:rsidR="00883C34" w:rsidRPr="002D578A" w:rsidRDefault="00883C34" w:rsidP="002A20FD">
            <w:pPr>
              <w:ind w:right="-17"/>
              <w:contextualSpacing/>
              <w:jc w:val="both"/>
              <w:rPr>
                <w:rFonts w:eastAsia="Times New Roman"/>
                <w:i/>
                <w:sz w:val="26"/>
                <w:szCs w:val="26"/>
                <w:lang w:eastAsia="es-ES"/>
              </w:rPr>
            </w:pPr>
          </w:p>
        </w:tc>
        <w:tc>
          <w:tcPr>
            <w:tcW w:w="851" w:type="dxa"/>
          </w:tcPr>
          <w:p w:rsidR="00883C34" w:rsidRPr="00883C34" w:rsidRDefault="00883C34" w:rsidP="00883C34">
            <w:pPr>
              <w:pStyle w:val="Prrafodelista"/>
              <w:numPr>
                <w:ilvl w:val="0"/>
                <w:numId w:val="137"/>
              </w:numPr>
              <w:ind w:right="-17"/>
              <w:jc w:val="right"/>
              <w:rPr>
                <w:sz w:val="20"/>
                <w:szCs w:val="20"/>
              </w:rPr>
            </w:pPr>
          </w:p>
        </w:tc>
      </w:tr>
      <w:tr w:rsidR="00883C34" w:rsidRPr="00526E43" w:rsidTr="00883C34">
        <w:tc>
          <w:tcPr>
            <w:tcW w:w="8789" w:type="dxa"/>
            <w:gridSpan w:val="2"/>
          </w:tcPr>
          <w:p w:rsidR="00883C34" w:rsidRPr="00526E43" w:rsidRDefault="00883C34" w:rsidP="002A20FD">
            <w:pPr>
              <w:ind w:right="-17"/>
              <w:contextualSpacing/>
              <w:jc w:val="both"/>
              <w:rPr>
                <w:rFonts w:eastAsia="Times New Roman"/>
                <w:sz w:val="26"/>
                <w:szCs w:val="26"/>
                <w:lang w:eastAsia="es-ES"/>
              </w:rPr>
            </w:pPr>
            <w:r w:rsidRPr="00526E43">
              <w:rPr>
                <w:rFonts w:eastAsia="Times New Roman"/>
                <w:i/>
                <w:sz w:val="26"/>
                <w:szCs w:val="26"/>
                <w:lang w:eastAsia="es-ES"/>
              </w:rPr>
              <w:t xml:space="preserve">Microcrédito productivo.- </w:t>
            </w:r>
            <w:r w:rsidRPr="00526E43">
              <w:rPr>
                <w:rFonts w:eastAsia="Times New Roman"/>
                <w:sz w:val="26"/>
                <w:szCs w:val="26"/>
                <w:lang w:eastAsia="es-ES"/>
              </w:rPr>
              <w:t xml:space="preserve">Es aquel crédito otorgado por la entidad a sus </w:t>
            </w:r>
            <w:r w:rsidRPr="00526E43">
              <w:rPr>
                <w:rFonts w:eastAsia="Times New Roman"/>
                <w:sz w:val="26"/>
                <w:szCs w:val="26"/>
                <w:lang w:eastAsia="es-ES"/>
              </w:rPr>
              <w:lastRenderedPageBreak/>
              <w:t>acreditados o a grupos de acreditados, destinados a financiar su actividad productiva y cuya fuente de pago la constituyan los flujos originados por dicha actividad productiva.</w:t>
            </w:r>
          </w:p>
          <w:p w:rsidR="00883C34" w:rsidRPr="00526E43" w:rsidRDefault="00883C34" w:rsidP="002A20FD">
            <w:pPr>
              <w:ind w:right="-17"/>
              <w:contextualSpacing/>
              <w:jc w:val="both"/>
              <w:rPr>
                <w:rFonts w:eastAsia="Times New Roman"/>
                <w:sz w:val="26"/>
                <w:szCs w:val="26"/>
                <w:lang w:eastAsia="es-ES"/>
              </w:rPr>
            </w:pPr>
          </w:p>
          <w:p w:rsidR="00883C34" w:rsidRPr="00526E43" w:rsidRDefault="00883C34" w:rsidP="002A20FD">
            <w:pPr>
              <w:pStyle w:val="Texto"/>
              <w:spacing w:after="0" w:line="240" w:lineRule="auto"/>
              <w:ind w:firstLine="0"/>
              <w:contextualSpacing/>
              <w:rPr>
                <w:rFonts w:ascii="Times New Roman" w:hAnsi="Times New Roman" w:cs="Times New Roman"/>
                <w:sz w:val="26"/>
                <w:szCs w:val="26"/>
              </w:rPr>
            </w:pPr>
            <w:r w:rsidRPr="00526E43">
              <w:rPr>
                <w:rFonts w:ascii="Times New Roman" w:hAnsi="Times New Roman" w:cs="Times New Roman"/>
                <w:sz w:val="26"/>
                <w:szCs w:val="26"/>
              </w:rPr>
              <w:t>En todo caso, los grupos de acreditados señalados, deberán ser obligados mancomunados o solidarios.</w:t>
            </w:r>
          </w:p>
          <w:p w:rsidR="00883C34" w:rsidRPr="00526E43" w:rsidRDefault="00883C34" w:rsidP="002A20FD">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526E43" w:rsidRDefault="00883C34" w:rsidP="00883C34">
            <w:pPr>
              <w:pStyle w:val="Prrafodelista"/>
              <w:numPr>
                <w:ilvl w:val="0"/>
                <w:numId w:val="137"/>
              </w:numPr>
              <w:ind w:right="-17"/>
              <w:jc w:val="right"/>
              <w:rPr>
                <w:rFonts w:eastAsia="Times New Roman"/>
                <w:sz w:val="20"/>
                <w:szCs w:val="20"/>
                <w:lang w:eastAsia="es-ES"/>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lastRenderedPageBreak/>
              <w:t>Opción de compra a precio reducido</w:t>
            </w:r>
            <w:r w:rsidRPr="002D578A">
              <w:rPr>
                <w:rFonts w:ascii="Times New Roman" w:hAnsi="Times New Roman" w:cs="Times New Roman"/>
                <w:sz w:val="26"/>
                <w:szCs w:val="26"/>
              </w:rPr>
              <w:t xml:space="preserve">.- Acuerdo que permite al arrendatario, a su elección, comprar la propiedad </w:t>
            </w:r>
            <w:r w:rsidRPr="00D24A06">
              <w:rPr>
                <w:rFonts w:ascii="Times New Roman" w:hAnsi="Times New Roman" w:cs="Times New Roman"/>
                <w:sz w:val="26"/>
                <w:szCs w:val="26"/>
              </w:rPr>
              <w:t>arrendada</w:t>
            </w:r>
            <w:r w:rsidRPr="002D578A">
              <w:rPr>
                <w:rFonts w:ascii="Times New Roman" w:hAnsi="Times New Roman" w:cs="Times New Roman"/>
                <w:sz w:val="26"/>
                <w:szCs w:val="26"/>
              </w:rPr>
              <w:t xml:space="preserve"> por un precio significativamente bajo en relación al valor de mercado en el momento que la opción pueda ser ejercida. Esta situación permite suponer que dicha opción será ejercida.</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sz w:val="26"/>
                <w:szCs w:val="26"/>
              </w:rPr>
            </w:pPr>
            <w:r w:rsidRPr="0005539E">
              <w:rPr>
                <w:rFonts w:ascii="Times New Roman" w:hAnsi="Times New Roman"/>
                <w:i/>
                <w:sz w:val="26"/>
                <w:szCs w:val="26"/>
              </w:rPr>
              <w:t xml:space="preserve">Pago.- </w:t>
            </w:r>
            <w:r w:rsidRPr="0005539E">
              <w:rPr>
                <w:rFonts w:ascii="Times New Roman" w:hAnsi="Times New Roman"/>
                <w:sz w:val="26"/>
                <w:szCs w:val="26"/>
              </w:rPr>
              <w:t>Entrega real de la cosa o cantidad debida o la prestación del servicio que se hubiere pactado. No se considerarán como pago el ingreso financiero por devengar proveniente de las operaciones de arrendamiento capitalizable o factoraje financiero, ni los intereses que se capitalicen.</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sz w:val="26"/>
                <w:szCs w:val="26"/>
              </w:rPr>
            </w:pPr>
            <w:r w:rsidRPr="0005539E">
              <w:rPr>
                <w:rFonts w:ascii="Times New Roman" w:hAnsi="Times New Roman"/>
                <w:sz w:val="26"/>
                <w:szCs w:val="26"/>
              </w:rPr>
              <w:t>No se consideran pagos los castigos, quitas, condonaciones, bonificaciones y descuentos que se efectúen a un crédito o grupo de créditos.</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t xml:space="preserve">Pago sostenido del crédito.- </w:t>
            </w:r>
            <w:r w:rsidRPr="002D578A">
              <w:rPr>
                <w:rFonts w:ascii="Times New Roman" w:hAnsi="Times New Roman" w:cs="Times New Roman"/>
                <w:sz w:val="26"/>
                <w:szCs w:val="26"/>
              </w:rPr>
              <w:t>Cumplimiento de pago del acreditado sin retraso por el monto total exigible de principal e intereses, como mínimo de tres amortizaciones consecutivas del esquema de pagos del crédito, o en caso de créditos con amortizaciones que cubran periodos mayores a 60 días naturales, el pago de una exhibición.</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 xml:space="preserve">Para las reestructuraciones </w:t>
            </w:r>
            <w:r>
              <w:rPr>
                <w:rFonts w:ascii="Times New Roman" w:hAnsi="Times New Roman" w:cs="Times New Roman"/>
                <w:sz w:val="26"/>
                <w:szCs w:val="26"/>
              </w:rPr>
              <w:t xml:space="preserve">de créditos con pagos periódicos de principal e intereses cuyas amortizaciones sean menores o iguales a 60 días </w:t>
            </w:r>
            <w:r w:rsidRPr="002D578A">
              <w:rPr>
                <w:rFonts w:ascii="Times New Roman" w:hAnsi="Times New Roman" w:cs="Times New Roman"/>
                <w:sz w:val="26"/>
                <w:szCs w:val="26"/>
              </w:rPr>
              <w:t xml:space="preserve">en las que se modifique la periodicidad del pago a periodos menores, se deberá considerar el número de amortizaciones equivalentes a tres amortizaciones consecutivas del esquema original de pagos del crédito. </w:t>
            </w:r>
            <w:r>
              <w:rPr>
                <w:rFonts w:ascii="Times New Roman" w:hAnsi="Times New Roman" w:cs="Times New Roman"/>
                <w:sz w:val="26"/>
                <w:szCs w:val="26"/>
              </w:rPr>
              <w:t>Tratándose de los créditos que permanezcan con un esquema de pago único de principal al vencimiento, les será aplicable lo dispuesto en el párrafo 32 siguiente.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F9500F">
            <w:pPr>
              <w:pStyle w:val="Texto"/>
              <w:spacing w:after="0" w:line="240" w:lineRule="auto"/>
              <w:ind w:firstLine="0"/>
              <w:contextualSpacing/>
              <w:rPr>
                <w:rFonts w:ascii="Times New Roman" w:hAnsi="Times New Roman"/>
                <w:sz w:val="26"/>
                <w:szCs w:val="26"/>
              </w:rPr>
            </w:pPr>
            <w:r w:rsidRPr="0005539E">
              <w:rPr>
                <w:rFonts w:ascii="Times New Roman" w:hAnsi="Times New Roman"/>
                <w:sz w:val="26"/>
                <w:szCs w:val="26"/>
              </w:rPr>
              <w:t>En el caso de créditos consolidados, s</w:t>
            </w:r>
            <w:r>
              <w:rPr>
                <w:rFonts w:ascii="Times New Roman" w:hAnsi="Times New Roman"/>
                <w:sz w:val="26"/>
                <w:szCs w:val="26"/>
              </w:rPr>
              <w:t xml:space="preserve">i </w:t>
            </w:r>
            <w:r w:rsidRPr="0005539E">
              <w:rPr>
                <w:rFonts w:ascii="Times New Roman" w:hAnsi="Times New Roman"/>
                <w:sz w:val="26"/>
                <w:szCs w:val="26"/>
              </w:rPr>
              <w:t xml:space="preserve">conforme al párrafo </w:t>
            </w:r>
            <w:r>
              <w:rPr>
                <w:rFonts w:ascii="Times New Roman" w:hAnsi="Times New Roman"/>
                <w:sz w:val="26"/>
                <w:szCs w:val="26"/>
              </w:rPr>
              <w:t>72,</w:t>
            </w:r>
            <w:r w:rsidRPr="0005539E">
              <w:rPr>
                <w:rFonts w:ascii="Times New Roman" w:hAnsi="Times New Roman"/>
                <w:sz w:val="26"/>
                <w:szCs w:val="26"/>
              </w:rPr>
              <w:t xml:space="preserve"> dos o más créditos hubieran originado </w:t>
            </w:r>
            <w:r>
              <w:rPr>
                <w:rFonts w:ascii="Times New Roman" w:hAnsi="Times New Roman"/>
                <w:sz w:val="26"/>
                <w:szCs w:val="26"/>
              </w:rPr>
              <w:t>el</w:t>
            </w:r>
            <w:r w:rsidRPr="0005539E">
              <w:rPr>
                <w:rFonts w:ascii="Times New Roman" w:hAnsi="Times New Roman"/>
                <w:sz w:val="26"/>
                <w:szCs w:val="26"/>
              </w:rPr>
              <w:t xml:space="preserve"> traspaso</w:t>
            </w:r>
            <w:r>
              <w:rPr>
                <w:rFonts w:ascii="Times New Roman" w:hAnsi="Times New Roman"/>
                <w:sz w:val="26"/>
                <w:szCs w:val="26"/>
              </w:rPr>
              <w:t xml:space="preserve"> a cartera vencida</w:t>
            </w:r>
            <w:r w:rsidRPr="0005539E">
              <w:rPr>
                <w:rFonts w:ascii="Times New Roman" w:hAnsi="Times New Roman"/>
                <w:sz w:val="26"/>
                <w:szCs w:val="26"/>
              </w:rPr>
              <w:t xml:space="preserve">, </w:t>
            </w:r>
            <w:r>
              <w:rPr>
                <w:rFonts w:ascii="Times New Roman" w:hAnsi="Times New Roman"/>
                <w:sz w:val="26"/>
                <w:szCs w:val="26"/>
              </w:rPr>
              <w:t xml:space="preserve">para determinar las amortizaciones requeridas </w:t>
            </w:r>
            <w:r w:rsidRPr="0005539E">
              <w:rPr>
                <w:rFonts w:ascii="Times New Roman" w:hAnsi="Times New Roman"/>
                <w:sz w:val="26"/>
                <w:szCs w:val="26"/>
              </w:rPr>
              <w:t xml:space="preserve">deberá </w:t>
            </w:r>
            <w:r>
              <w:rPr>
                <w:rFonts w:ascii="Times New Roman" w:hAnsi="Times New Roman"/>
                <w:sz w:val="26"/>
                <w:szCs w:val="26"/>
              </w:rPr>
              <w:t>atende</w:t>
            </w:r>
            <w:r w:rsidRPr="0005539E">
              <w:rPr>
                <w:rFonts w:ascii="Times New Roman" w:hAnsi="Times New Roman"/>
                <w:sz w:val="26"/>
                <w:szCs w:val="26"/>
              </w:rPr>
              <w:t>rse el esquema original de pagos del crédito cuyas amortizaciones equivalgan al plazo más extenso.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pPr>
              <w:pStyle w:val="Texto"/>
              <w:spacing w:after="0" w:line="240" w:lineRule="auto"/>
              <w:ind w:firstLine="0"/>
              <w:contextualSpacing/>
              <w:rPr>
                <w:rFonts w:ascii="Times New Roman" w:hAnsi="Times New Roman" w:cs="Times New Roman"/>
                <w:sz w:val="26"/>
                <w:szCs w:val="26"/>
              </w:rPr>
            </w:pPr>
            <w:r w:rsidRPr="00B175E4">
              <w:rPr>
                <w:rFonts w:ascii="Times New Roman" w:hAnsi="Times New Roman" w:cs="Times New Roman"/>
                <w:sz w:val="26"/>
                <w:szCs w:val="26"/>
              </w:rPr>
              <w:t>En todo caso</w:t>
            </w:r>
            <w:r>
              <w:rPr>
                <w:rFonts w:ascii="Times New Roman" w:hAnsi="Times New Roman" w:cs="Times New Roman"/>
                <w:sz w:val="26"/>
                <w:szCs w:val="26"/>
              </w:rPr>
              <w:t>,</w:t>
            </w:r>
            <w:r w:rsidRPr="00B175E4">
              <w:rPr>
                <w:rFonts w:ascii="Times New Roman" w:hAnsi="Times New Roman" w:cs="Times New Roman"/>
                <w:sz w:val="26"/>
                <w:szCs w:val="26"/>
              </w:rPr>
              <w:t xml:space="preserve"> en la demostración de que existe pago sostenido la entidad deberá tener a disposición de la CNBV </w:t>
            </w:r>
            <w:r>
              <w:rPr>
                <w:rFonts w:ascii="Times New Roman" w:hAnsi="Times New Roman" w:cs="Times New Roman"/>
                <w:sz w:val="26"/>
                <w:szCs w:val="26"/>
              </w:rPr>
              <w:t xml:space="preserve">y la Federación encargada de su supervisión auxiliar, </w:t>
            </w:r>
            <w:r w:rsidRPr="00B175E4">
              <w:rPr>
                <w:rFonts w:ascii="Times New Roman" w:hAnsi="Times New Roman" w:cs="Times New Roman"/>
                <w:sz w:val="26"/>
                <w:szCs w:val="26"/>
              </w:rPr>
              <w:t>evidencia que justifique que el acreditado cuenta con capacidad de pago</w:t>
            </w:r>
            <w:r>
              <w:rPr>
                <w:rFonts w:ascii="Times New Roman" w:hAnsi="Times New Roman" w:cs="Times New Roman"/>
                <w:sz w:val="26"/>
                <w:szCs w:val="26"/>
              </w:rPr>
              <w:t xml:space="preserve"> en el momento en que se lleve a cabo la reestructura o renovación </w:t>
            </w:r>
            <w:r w:rsidRPr="00DE6687">
              <w:rPr>
                <w:rFonts w:ascii="Times New Roman" w:hAnsi="Times New Roman" w:cs="Times New Roman"/>
                <w:sz w:val="26"/>
                <w:szCs w:val="26"/>
              </w:rPr>
              <w:t>para hac</w:t>
            </w:r>
            <w:r w:rsidRPr="00B175E4">
              <w:rPr>
                <w:rFonts w:ascii="Times New Roman" w:hAnsi="Times New Roman" w:cs="Times New Roman"/>
                <w:sz w:val="26"/>
                <w:szCs w:val="26"/>
              </w:rPr>
              <w:t>e</w:t>
            </w:r>
            <w:r w:rsidRPr="00DE6687">
              <w:rPr>
                <w:rFonts w:ascii="Times New Roman" w:hAnsi="Times New Roman" w:cs="Times New Roman"/>
                <w:sz w:val="26"/>
                <w:szCs w:val="26"/>
              </w:rPr>
              <w:t xml:space="preserve">r </w:t>
            </w:r>
            <w:r w:rsidRPr="00DE6687">
              <w:rPr>
                <w:rFonts w:ascii="Times New Roman" w:hAnsi="Times New Roman" w:cs="Times New Roman"/>
                <w:sz w:val="26"/>
                <w:szCs w:val="26"/>
              </w:rPr>
              <w:lastRenderedPageBreak/>
              <w:t>f</w:t>
            </w:r>
            <w:r w:rsidRPr="00B175E4">
              <w:rPr>
                <w:rFonts w:ascii="Times New Roman" w:hAnsi="Times New Roman" w:cs="Times New Roman"/>
                <w:sz w:val="26"/>
                <w:szCs w:val="26"/>
              </w:rPr>
              <w:t>r</w:t>
            </w:r>
            <w:r w:rsidRPr="00DE6687">
              <w:rPr>
                <w:rFonts w:ascii="Times New Roman" w:hAnsi="Times New Roman" w:cs="Times New Roman"/>
                <w:sz w:val="26"/>
                <w:szCs w:val="26"/>
              </w:rPr>
              <w:t>ente a las nuevas condiciones del crédito</w:t>
            </w:r>
            <w:r>
              <w:rPr>
                <w:rFonts w:ascii="Times New Roman" w:hAnsi="Times New Roman" w:cs="Times New Roman"/>
                <w:sz w:val="26"/>
                <w:szCs w:val="26"/>
              </w:rPr>
              <w:t>. Los</w:t>
            </w:r>
            <w:r w:rsidRPr="00B175E4">
              <w:rPr>
                <w:rFonts w:ascii="Times New Roman" w:hAnsi="Times New Roman" w:cs="Times New Roman"/>
                <w:sz w:val="26"/>
                <w:szCs w:val="26"/>
              </w:rPr>
              <w:t xml:space="preserve"> elementos que se deberán tomar en cuenta para tales efectos</w:t>
            </w:r>
            <w:r>
              <w:rPr>
                <w:rFonts w:ascii="Times New Roman" w:hAnsi="Times New Roman" w:cs="Times New Roman"/>
                <w:sz w:val="26"/>
                <w:szCs w:val="26"/>
              </w:rPr>
              <w:t>, son</w:t>
            </w:r>
            <w:r w:rsidRPr="00D24A06">
              <w:rPr>
                <w:rFonts w:ascii="Times New Roman" w:hAnsi="Times New Roman" w:cs="Times New Roman"/>
                <w:sz w:val="26"/>
                <w:szCs w:val="26"/>
              </w:rPr>
              <w:t xml:space="preserve"> al menos los siguientes: la probabilidad de incumplimiento intrínseca al acreditado, las garantías otorgadas al crédito reestructurado o renovado, la prelación de pago frente a otros acreedores y la liquidez del acreditado ante la nueva estructura financiera del financiamiento.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05539E" w:rsidRDefault="00883C34" w:rsidP="00F9500F">
            <w:pPr>
              <w:pStyle w:val="Texto"/>
              <w:spacing w:after="120" w:line="240" w:lineRule="auto"/>
              <w:ind w:firstLine="0"/>
              <w:rPr>
                <w:rFonts w:ascii="Times New Roman" w:hAnsi="Times New Roman"/>
                <w:sz w:val="26"/>
                <w:szCs w:val="26"/>
                <w:lang w:val="es-MX"/>
              </w:rPr>
            </w:pPr>
            <w:r w:rsidRPr="0005539E">
              <w:rPr>
                <w:rFonts w:ascii="Times New Roman" w:hAnsi="Times New Roman"/>
                <w:sz w:val="26"/>
                <w:szCs w:val="26"/>
                <w:lang w:val="es-MX"/>
              </w:rPr>
              <w:lastRenderedPageBreak/>
              <w:t>Tratándose de créditos con pago único de principal al vencimiento, con independencia de si el pago de intereses es periódico o al vencimiento, se considera que existe pago sostenido del crédito cuando, ocurra alguno de los siguientes supuestos:</w:t>
            </w:r>
          </w:p>
          <w:p w:rsidR="00883C34" w:rsidRDefault="00883C34" w:rsidP="00D24A06">
            <w:pPr>
              <w:pStyle w:val="Texto"/>
              <w:numPr>
                <w:ilvl w:val="0"/>
                <w:numId w:val="134"/>
              </w:numPr>
              <w:spacing w:after="120" w:line="240" w:lineRule="auto"/>
              <w:ind w:left="423" w:hanging="423"/>
              <w:rPr>
                <w:rFonts w:ascii="Times New Roman" w:hAnsi="Times New Roman"/>
                <w:sz w:val="26"/>
                <w:szCs w:val="26"/>
              </w:rPr>
            </w:pPr>
            <w:r w:rsidRPr="0005539E">
              <w:rPr>
                <w:rFonts w:ascii="Times New Roman" w:hAnsi="Times New Roman"/>
                <w:sz w:val="26"/>
                <w:szCs w:val="26"/>
                <w:lang w:val="es-MX"/>
              </w:rPr>
              <w:t>el acreditado haya cubierto al menos el 20% del monto original del crédito al momento de la reestructura o renovación, o</w:t>
            </w:r>
            <w:r w:rsidRPr="0005539E">
              <w:rPr>
                <w:rFonts w:ascii="Times New Roman" w:hAnsi="Times New Roman"/>
                <w:sz w:val="26"/>
                <w:szCs w:val="26"/>
              </w:rPr>
              <w:t xml:space="preserve"> bien,</w:t>
            </w:r>
          </w:p>
          <w:p w:rsidR="00883C34" w:rsidRPr="00D24A06" w:rsidRDefault="00883C34" w:rsidP="00D24A06">
            <w:pPr>
              <w:pStyle w:val="Texto"/>
              <w:numPr>
                <w:ilvl w:val="0"/>
                <w:numId w:val="134"/>
              </w:numPr>
              <w:spacing w:after="0" w:line="240" w:lineRule="auto"/>
              <w:ind w:left="425" w:hanging="425"/>
              <w:rPr>
                <w:rFonts w:ascii="Times New Roman" w:hAnsi="Times New Roman"/>
                <w:sz w:val="26"/>
                <w:szCs w:val="26"/>
              </w:rPr>
            </w:pPr>
            <w:r w:rsidRPr="00F9500F">
              <w:rPr>
                <w:rFonts w:ascii="Times New Roman" w:hAnsi="Times New Roman"/>
                <w:sz w:val="26"/>
                <w:szCs w:val="26"/>
                <w:lang w:val="es-MX"/>
              </w:rPr>
              <w:t>se hubiere cubierto el importe de los intereses devengados conforme al esquema de pagos por reestructuración o renovación correspondientes a un plazo de 90 días.</w:t>
            </w:r>
          </w:p>
          <w:p w:rsidR="00883C34" w:rsidRPr="00697DB7" w:rsidRDefault="00883C34" w:rsidP="00D24A06">
            <w:pPr>
              <w:pStyle w:val="Texto"/>
              <w:spacing w:after="0" w:line="240" w:lineRule="auto"/>
              <w:ind w:left="425" w:firstLine="0"/>
              <w:rPr>
                <w:rFonts w:ascii="Times New Roman" w:hAnsi="Times New Roman"/>
                <w:sz w:val="26"/>
                <w:szCs w:val="26"/>
              </w:rPr>
            </w:pPr>
          </w:p>
        </w:tc>
        <w:tc>
          <w:tcPr>
            <w:tcW w:w="851" w:type="dxa"/>
          </w:tcPr>
          <w:p w:rsidR="00883C34" w:rsidRPr="00883C34" w:rsidRDefault="00883C34" w:rsidP="00883C34">
            <w:pPr>
              <w:pStyle w:val="Texto"/>
              <w:numPr>
                <w:ilvl w:val="0"/>
                <w:numId w:val="137"/>
              </w:numPr>
              <w:spacing w:after="120" w:line="240" w:lineRule="auto"/>
              <w:jc w:val="right"/>
              <w:rPr>
                <w:rFonts w:ascii="Times New Roman" w:hAnsi="Times New Roman" w:cs="Times New Roman"/>
                <w:sz w:val="20"/>
                <w:lang w:val="es-MX"/>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 xml:space="preserve">El pago anticipado de las amortizaciones </w:t>
            </w:r>
            <w:r>
              <w:rPr>
                <w:rFonts w:ascii="Times New Roman" w:hAnsi="Times New Roman" w:cs="Times New Roman"/>
                <w:sz w:val="26"/>
                <w:szCs w:val="26"/>
              </w:rPr>
              <w:t>de créditos reestructurados o renovados, distintos de aquellos con pago único de principal al vencimiento, con independencia de que los intereses se paguen periódicamente o al vencimiento</w:t>
            </w:r>
            <w:r w:rsidRPr="002D578A">
              <w:rPr>
                <w:rFonts w:ascii="Times New Roman" w:hAnsi="Times New Roman" w:cs="Times New Roman"/>
                <w:sz w:val="26"/>
                <w:szCs w:val="26"/>
              </w:rPr>
              <w:t>, no se considera pago sostenido.</w:t>
            </w:r>
            <w:r>
              <w:rPr>
                <w:rFonts w:ascii="Times New Roman" w:hAnsi="Times New Roman" w:cs="Times New Roman"/>
                <w:sz w:val="26"/>
                <w:szCs w:val="26"/>
              </w:rPr>
              <w:t xml:space="preserve"> Tal es el caso de las amortizaciones de créditos reestructurados o renovados que se paguen sin haber transcurrido los días naturales equivalentes a los periodos requeridos conforme al párrafo 28 anterior.</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t xml:space="preserve">Reestructuración.- </w:t>
            </w:r>
            <w:r w:rsidRPr="002D578A">
              <w:rPr>
                <w:rFonts w:ascii="Times New Roman" w:hAnsi="Times New Roman" w:cs="Times New Roman"/>
                <w:sz w:val="26"/>
                <w:szCs w:val="26"/>
              </w:rPr>
              <w:t>Es aquella operación que se deriva de cualquiera de las siguientes situaciones: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numPr>
                <w:ilvl w:val="1"/>
                <w:numId w:val="120"/>
              </w:numPr>
              <w:spacing w:after="0" w:line="240" w:lineRule="auto"/>
              <w:ind w:left="282" w:hanging="282"/>
              <w:contextualSpacing/>
              <w:rPr>
                <w:rFonts w:ascii="Times New Roman" w:hAnsi="Times New Roman" w:cs="Times New Roman"/>
                <w:sz w:val="26"/>
                <w:szCs w:val="26"/>
              </w:rPr>
            </w:pPr>
            <w:r w:rsidRPr="002D578A">
              <w:rPr>
                <w:rFonts w:ascii="Times New Roman" w:hAnsi="Times New Roman" w:cs="Times New Roman"/>
                <w:sz w:val="26"/>
                <w:szCs w:val="26"/>
              </w:rPr>
              <w:t>ampliación de garantías que amparan el crédito de que se trate, o bien</w:t>
            </w:r>
            <w:r>
              <w:rPr>
                <w:rFonts w:ascii="Times New Roman" w:hAnsi="Times New Roman" w:cs="Times New Roman"/>
                <w:sz w:val="26"/>
                <w:szCs w:val="26"/>
              </w:rPr>
              <w:t>,</w:t>
            </w:r>
          </w:p>
          <w:p w:rsidR="00883C34" w:rsidRPr="002D578A" w:rsidRDefault="00883C34" w:rsidP="00B611D7">
            <w:pPr>
              <w:pStyle w:val="Texto"/>
              <w:numPr>
                <w:ilvl w:val="1"/>
                <w:numId w:val="120"/>
              </w:numPr>
              <w:spacing w:after="0" w:line="240" w:lineRule="auto"/>
              <w:ind w:left="282" w:hanging="282"/>
              <w:contextualSpacing/>
              <w:rPr>
                <w:rFonts w:ascii="Times New Roman" w:hAnsi="Times New Roman" w:cs="Times New Roman"/>
                <w:sz w:val="26"/>
                <w:szCs w:val="26"/>
              </w:rPr>
            </w:pPr>
            <w:r w:rsidRPr="002D578A">
              <w:rPr>
                <w:rFonts w:ascii="Times New Roman" w:hAnsi="Times New Roman" w:cs="Times New Roman"/>
                <w:sz w:val="26"/>
                <w:szCs w:val="26"/>
              </w:rPr>
              <w:t>modificaciones a las condiciones originales del crédito o al esquema de pagos, entre las cuales se encuentran:</w:t>
            </w:r>
          </w:p>
          <w:p w:rsidR="00883C34" w:rsidRPr="002D578A" w:rsidRDefault="00883C34" w:rsidP="00B611D7">
            <w:pPr>
              <w:pStyle w:val="Texto"/>
              <w:numPr>
                <w:ilvl w:val="0"/>
                <w:numId w:val="121"/>
              </w:numPr>
              <w:spacing w:after="0" w:line="240" w:lineRule="auto"/>
              <w:contextualSpacing/>
              <w:rPr>
                <w:rFonts w:ascii="Times New Roman" w:hAnsi="Times New Roman" w:cs="Times New Roman"/>
                <w:sz w:val="26"/>
                <w:szCs w:val="26"/>
              </w:rPr>
            </w:pPr>
            <w:r w:rsidRPr="002D578A">
              <w:rPr>
                <w:rFonts w:ascii="Times New Roman" w:hAnsi="Times New Roman" w:cs="Times New Roman"/>
                <w:sz w:val="26"/>
                <w:szCs w:val="26"/>
              </w:rPr>
              <w:t>cambio de la tasa de interés establecida para el plazo remanente del crédito;</w:t>
            </w:r>
          </w:p>
          <w:p w:rsidR="00883C34" w:rsidRPr="002D578A" w:rsidRDefault="00883C34" w:rsidP="00B611D7">
            <w:pPr>
              <w:pStyle w:val="Texto"/>
              <w:numPr>
                <w:ilvl w:val="0"/>
                <w:numId w:val="121"/>
              </w:numPr>
              <w:spacing w:after="0" w:line="240" w:lineRule="auto"/>
              <w:contextualSpacing/>
              <w:rPr>
                <w:rFonts w:ascii="Times New Roman" w:hAnsi="Times New Roman" w:cs="Times New Roman"/>
                <w:sz w:val="26"/>
                <w:szCs w:val="26"/>
              </w:rPr>
            </w:pPr>
            <w:r w:rsidRPr="002D578A">
              <w:rPr>
                <w:rFonts w:ascii="Times New Roman" w:hAnsi="Times New Roman" w:cs="Times New Roman"/>
                <w:sz w:val="26"/>
                <w:szCs w:val="26"/>
              </w:rPr>
              <w:t>cambio de unidad de cuenta</w:t>
            </w:r>
            <w:r>
              <w:rPr>
                <w:rFonts w:ascii="Times New Roman" w:hAnsi="Times New Roman" w:cs="Times New Roman"/>
                <w:sz w:val="26"/>
                <w:szCs w:val="26"/>
              </w:rPr>
              <w:t>;</w:t>
            </w:r>
          </w:p>
          <w:p w:rsidR="00883C34" w:rsidRPr="00D24A06" w:rsidRDefault="00883C34" w:rsidP="00D24A06">
            <w:pPr>
              <w:pStyle w:val="Texto"/>
              <w:numPr>
                <w:ilvl w:val="0"/>
                <w:numId w:val="121"/>
              </w:numPr>
              <w:spacing w:after="0" w:line="240" w:lineRule="auto"/>
              <w:contextualSpacing/>
              <w:rPr>
                <w:rFonts w:ascii="Times New Roman" w:hAnsi="Times New Roman" w:cs="Times New Roman"/>
                <w:i/>
                <w:sz w:val="26"/>
                <w:szCs w:val="26"/>
              </w:rPr>
            </w:pPr>
            <w:r w:rsidRPr="002D578A">
              <w:rPr>
                <w:rFonts w:ascii="Times New Roman" w:hAnsi="Times New Roman" w:cs="Times New Roman"/>
                <w:sz w:val="26"/>
                <w:szCs w:val="26"/>
              </w:rPr>
              <w:t>concesión de un plazo de espera respecto del cumplimiento de las obligaciones de pago conforme a los términos originales del crédito</w:t>
            </w:r>
            <w:r>
              <w:rPr>
                <w:rFonts w:ascii="Times New Roman" w:hAnsi="Times New Roman" w:cs="Times New Roman"/>
                <w:sz w:val="26"/>
                <w:szCs w:val="26"/>
              </w:rPr>
              <w:t>, o</w:t>
            </w:r>
          </w:p>
          <w:p w:rsidR="00883C34" w:rsidRPr="002D578A" w:rsidRDefault="00883C34" w:rsidP="00D24A06">
            <w:pPr>
              <w:pStyle w:val="Texto"/>
              <w:numPr>
                <w:ilvl w:val="0"/>
                <w:numId w:val="121"/>
              </w:numPr>
              <w:spacing w:after="0" w:line="240" w:lineRule="auto"/>
              <w:contextualSpacing/>
              <w:rPr>
                <w:rFonts w:ascii="Times New Roman" w:hAnsi="Times New Roman" w:cs="Times New Roman"/>
                <w:i/>
                <w:sz w:val="26"/>
                <w:szCs w:val="26"/>
              </w:rPr>
            </w:pPr>
            <w:r>
              <w:rPr>
                <w:rFonts w:ascii="Times New Roman" w:hAnsi="Times New Roman" w:cs="Times New Roman"/>
                <w:sz w:val="26"/>
                <w:szCs w:val="26"/>
              </w:rPr>
              <w:t>prórroga del plazo del crédito</w:t>
            </w:r>
            <w:r w:rsidRPr="002D578A">
              <w:rPr>
                <w:rFonts w:ascii="Times New Roman" w:hAnsi="Times New Roman" w:cs="Times New Roman"/>
                <w:sz w:val="26"/>
                <w:szCs w:val="26"/>
              </w:rPr>
              <w:t>.</w:t>
            </w:r>
          </w:p>
          <w:p w:rsidR="00883C34" w:rsidRPr="002D578A" w:rsidRDefault="00883C34" w:rsidP="00B611D7">
            <w:pPr>
              <w:pStyle w:val="Texto"/>
              <w:spacing w:after="0" w:line="240" w:lineRule="auto"/>
              <w:ind w:left="642"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t>Renovación.-</w:t>
            </w:r>
            <w:r w:rsidRPr="002D578A">
              <w:rPr>
                <w:rFonts w:ascii="Times New Roman" w:hAnsi="Times New Roman" w:cs="Times New Roman"/>
                <w:b/>
                <w:i/>
                <w:sz w:val="26"/>
                <w:szCs w:val="26"/>
              </w:rPr>
              <w:t xml:space="preserve"> </w:t>
            </w:r>
            <w:r w:rsidRPr="002D578A">
              <w:rPr>
                <w:rFonts w:ascii="Times New Roman" w:hAnsi="Times New Roman" w:cs="Times New Roman"/>
                <w:sz w:val="26"/>
                <w:szCs w:val="26"/>
              </w:rPr>
              <w:t xml:space="preserve">Es aquella operación en la que </w:t>
            </w:r>
            <w:r>
              <w:rPr>
                <w:rFonts w:ascii="Times New Roman" w:hAnsi="Times New Roman" w:cs="Times New Roman"/>
                <w:sz w:val="26"/>
                <w:szCs w:val="26"/>
              </w:rPr>
              <w:t>el saldo de un</w:t>
            </w:r>
            <w:r w:rsidRPr="002D578A">
              <w:rPr>
                <w:rFonts w:ascii="Times New Roman" w:hAnsi="Times New Roman" w:cs="Times New Roman"/>
                <w:sz w:val="26"/>
                <w:szCs w:val="26"/>
              </w:rPr>
              <w:t xml:space="preserve"> crédito se liquida </w:t>
            </w:r>
            <w:r>
              <w:rPr>
                <w:rFonts w:ascii="Times New Roman" w:hAnsi="Times New Roman" w:cs="Times New Roman"/>
                <w:sz w:val="26"/>
                <w:szCs w:val="26"/>
              </w:rPr>
              <w:t>parcial o totalmente, a través del incremento al monto original del crédito, o bien</w:t>
            </w:r>
            <w:r w:rsidRPr="002D578A">
              <w:rPr>
                <w:rFonts w:ascii="Times New Roman" w:hAnsi="Times New Roman" w:cs="Times New Roman"/>
                <w:sz w:val="26"/>
                <w:szCs w:val="26"/>
              </w:rPr>
              <w:t xml:space="preserve"> con el producto proveniente de otro crédito contratado con la misma entidad,</w:t>
            </w:r>
            <w:r w:rsidRPr="002D578A">
              <w:rPr>
                <w:rFonts w:ascii="Times New Roman" w:hAnsi="Times New Roman" w:cs="Times New Roman"/>
                <w:b/>
                <w:sz w:val="26"/>
                <w:szCs w:val="26"/>
              </w:rPr>
              <w:t xml:space="preserve"> </w:t>
            </w:r>
            <w:r w:rsidRPr="002D578A">
              <w:rPr>
                <w:rFonts w:ascii="Times New Roman" w:hAnsi="Times New Roman" w:cs="Times New Roman"/>
                <w:sz w:val="26"/>
                <w:szCs w:val="26"/>
              </w:rPr>
              <w:t>en la que sea parte el mismo deudor</w:t>
            </w:r>
            <w:r>
              <w:rPr>
                <w:rFonts w:ascii="Times New Roman" w:hAnsi="Times New Roman" w:cs="Times New Roman"/>
                <w:sz w:val="26"/>
                <w:szCs w:val="26"/>
              </w:rPr>
              <w:t>, un obligado solidario de dicho deudor</w:t>
            </w:r>
            <w:r w:rsidRPr="002D578A">
              <w:rPr>
                <w:rFonts w:ascii="Times New Roman" w:hAnsi="Times New Roman" w:cs="Times New Roman"/>
                <w:sz w:val="26"/>
                <w:szCs w:val="26"/>
              </w:rPr>
              <w:t xml:space="preserve"> u otra persona que por sus nexos patrimoniales constituy</w:t>
            </w:r>
            <w:r>
              <w:rPr>
                <w:rFonts w:ascii="Times New Roman" w:hAnsi="Times New Roman" w:cs="Times New Roman"/>
                <w:sz w:val="26"/>
                <w:szCs w:val="26"/>
              </w:rPr>
              <w:t>a</w:t>
            </w:r>
            <w:r w:rsidRPr="002D578A">
              <w:rPr>
                <w:rFonts w:ascii="Times New Roman" w:hAnsi="Times New Roman" w:cs="Times New Roman"/>
                <w:sz w:val="26"/>
                <w:szCs w:val="26"/>
              </w:rPr>
              <w:t xml:space="preserve"> riesgos comunes.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Pr>
                <w:rFonts w:ascii="Times New Roman" w:hAnsi="Times New Roman" w:cs="Times New Roman"/>
                <w:sz w:val="26"/>
                <w:szCs w:val="26"/>
              </w:rPr>
              <w:t>No obstante lo anterior</w:t>
            </w:r>
            <w:r w:rsidRPr="002D578A">
              <w:rPr>
                <w:rFonts w:ascii="Times New Roman" w:hAnsi="Times New Roman" w:cs="Times New Roman"/>
                <w:sz w:val="26"/>
                <w:szCs w:val="26"/>
              </w:rPr>
              <w:t>, no se considera</w:t>
            </w:r>
            <w:r>
              <w:rPr>
                <w:rFonts w:ascii="Times New Roman" w:hAnsi="Times New Roman" w:cs="Times New Roman"/>
                <w:sz w:val="26"/>
                <w:szCs w:val="26"/>
              </w:rPr>
              <w:t>rá</w:t>
            </w:r>
            <w:r w:rsidRPr="002D578A">
              <w:rPr>
                <w:rFonts w:ascii="Times New Roman" w:hAnsi="Times New Roman" w:cs="Times New Roman"/>
                <w:sz w:val="26"/>
                <w:szCs w:val="26"/>
              </w:rPr>
              <w:t xml:space="preserve"> renovado un crédito </w:t>
            </w:r>
            <w:r>
              <w:rPr>
                <w:rFonts w:ascii="Times New Roman" w:hAnsi="Times New Roman" w:cs="Times New Roman"/>
                <w:sz w:val="26"/>
                <w:szCs w:val="26"/>
              </w:rPr>
              <w:t>por</w:t>
            </w:r>
            <w:r w:rsidRPr="002D578A">
              <w:rPr>
                <w:rFonts w:ascii="Times New Roman" w:hAnsi="Times New Roman" w:cs="Times New Roman"/>
                <w:sz w:val="26"/>
                <w:szCs w:val="26"/>
              </w:rPr>
              <w:t xml:space="preserve"> las </w:t>
            </w:r>
            <w:r w:rsidRPr="002D578A">
              <w:rPr>
                <w:rFonts w:ascii="Times New Roman" w:hAnsi="Times New Roman" w:cs="Times New Roman"/>
                <w:sz w:val="26"/>
                <w:szCs w:val="26"/>
              </w:rPr>
              <w:lastRenderedPageBreak/>
              <w:t xml:space="preserve">disposiciones </w:t>
            </w:r>
            <w:r>
              <w:rPr>
                <w:rFonts w:ascii="Times New Roman" w:hAnsi="Times New Roman" w:cs="Times New Roman"/>
                <w:sz w:val="26"/>
                <w:szCs w:val="26"/>
              </w:rPr>
              <w:t xml:space="preserve">que </w:t>
            </w:r>
            <w:r w:rsidRPr="002D578A">
              <w:rPr>
                <w:rFonts w:ascii="Times New Roman" w:hAnsi="Times New Roman" w:cs="Times New Roman"/>
                <w:sz w:val="26"/>
                <w:szCs w:val="26"/>
              </w:rPr>
              <w:t>se efectú</w:t>
            </w:r>
            <w:r>
              <w:rPr>
                <w:rFonts w:ascii="Times New Roman" w:hAnsi="Times New Roman" w:cs="Times New Roman"/>
                <w:sz w:val="26"/>
                <w:szCs w:val="26"/>
              </w:rPr>
              <w:t>e</w:t>
            </w:r>
            <w:r w:rsidRPr="002D578A">
              <w:rPr>
                <w:rFonts w:ascii="Times New Roman" w:hAnsi="Times New Roman" w:cs="Times New Roman"/>
                <w:sz w:val="26"/>
                <w:szCs w:val="26"/>
              </w:rPr>
              <w:t>n durante la vigencia de una línea de crédito prestablecida</w:t>
            </w:r>
            <w:r>
              <w:rPr>
                <w:rFonts w:ascii="Times New Roman" w:hAnsi="Times New Roman" w:cs="Times New Roman"/>
                <w:sz w:val="26"/>
                <w:szCs w:val="26"/>
              </w:rPr>
              <w:t>, siempre y cuando el acreditado haya liquidado la totalidad de los pagos que le sean exigibles conforme a las condiciones originales del crédito</w:t>
            </w:r>
            <w:r w:rsidRPr="002D578A">
              <w:rPr>
                <w:rFonts w:ascii="Times New Roman" w:hAnsi="Times New Roman" w:cs="Times New Roman"/>
                <w:sz w:val="26"/>
                <w:szCs w:val="26"/>
              </w:rPr>
              <w:t>.</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i/>
                <w:sz w:val="26"/>
                <w:szCs w:val="26"/>
              </w:rPr>
              <w:lastRenderedPageBreak/>
              <w:t>Riesgo de crédito</w:t>
            </w:r>
            <w:r w:rsidRPr="002D578A">
              <w:rPr>
                <w:rFonts w:ascii="Times New Roman" w:hAnsi="Times New Roman" w:cs="Times New Roman"/>
                <w:sz w:val="26"/>
                <w:szCs w:val="26"/>
              </w:rPr>
              <w:t>.- Para efectos de este criterio, se define como la pérdida potencial por la falta de pago de un acreditado o contraparte en las operaciones que efectúan las entidades, incluyendo las garantías reales o personales que les otorguen, así como cualquier otro mecanismo de mitigación utilizado por las entidades.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bCs/>
                <w:sz w:val="26"/>
                <w:szCs w:val="26"/>
              </w:rPr>
            </w:pPr>
            <w:r w:rsidRPr="00D24A06">
              <w:rPr>
                <w:rFonts w:ascii="Times New Roman" w:hAnsi="Times New Roman" w:cs="Times New Roman"/>
                <w:bCs/>
                <w:i/>
                <w:iCs/>
                <w:sz w:val="26"/>
                <w:szCs w:val="26"/>
              </w:rPr>
              <w:t>Saldo insoluto.</w:t>
            </w:r>
            <w:r w:rsidRPr="002D578A">
              <w:rPr>
                <w:rFonts w:ascii="Times New Roman" w:hAnsi="Times New Roman" w:cs="Times New Roman"/>
                <w:bCs/>
                <w:i/>
                <w:sz w:val="26"/>
                <w:szCs w:val="26"/>
              </w:rPr>
              <w:t xml:space="preserve">- </w:t>
            </w:r>
            <w:r w:rsidRPr="002D578A">
              <w:rPr>
                <w:rFonts w:ascii="Times New Roman" w:hAnsi="Times New Roman" w:cs="Times New Roman"/>
                <w:bCs/>
                <w:sz w:val="26"/>
                <w:szCs w:val="26"/>
              </w:rPr>
              <w:t>Es el resultado obtenido por la aplicación del costo amortizado.</w:t>
            </w:r>
          </w:p>
          <w:p w:rsidR="00883C34" w:rsidRPr="002D578A" w:rsidRDefault="00883C34" w:rsidP="00B611D7">
            <w:pPr>
              <w:pStyle w:val="Texto"/>
              <w:spacing w:after="0" w:line="240" w:lineRule="auto"/>
              <w:ind w:firstLine="0"/>
              <w:contextualSpacing/>
              <w:rPr>
                <w:rFonts w:ascii="Times New Roman" w:hAnsi="Times New Roman" w:cs="Times New Roman"/>
                <w:bCs/>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b/>
                <w:sz w:val="26"/>
                <w:szCs w:val="26"/>
              </w:rPr>
            </w:pPr>
            <w:r w:rsidRPr="002D578A">
              <w:rPr>
                <w:rFonts w:ascii="Times New Roman" w:hAnsi="Times New Roman" w:cs="Times New Roman"/>
                <w:b/>
                <w:sz w:val="26"/>
                <w:szCs w:val="26"/>
              </w:rPr>
              <w:t>Normas de reconocimiento y valuación</w:t>
            </w:r>
          </w:p>
          <w:p w:rsidR="00883C34" w:rsidRPr="002D578A" w:rsidRDefault="00883C34" w:rsidP="00B611D7">
            <w:pPr>
              <w:pStyle w:val="Texto"/>
              <w:spacing w:after="0" w:line="240" w:lineRule="auto"/>
              <w:ind w:firstLine="0"/>
              <w:contextualSpacing/>
              <w:rPr>
                <w:rFonts w:ascii="Times New Roman" w:hAnsi="Times New Roman" w:cs="Times New Roman"/>
                <w:b/>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bCs/>
                <w:iCs/>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El saldo a registrar en la cartera de crédito, será el efectivamente otorgado al acreditado y</w:t>
            </w:r>
            <w:r>
              <w:rPr>
                <w:rFonts w:ascii="Times New Roman" w:hAnsi="Times New Roman" w:cs="Times New Roman"/>
                <w:sz w:val="26"/>
                <w:szCs w:val="26"/>
              </w:rPr>
              <w:t>,</w:t>
            </w:r>
            <w:r w:rsidRPr="002D578A">
              <w:rPr>
                <w:rFonts w:ascii="Times New Roman" w:hAnsi="Times New Roman" w:cs="Times New Roman"/>
                <w:sz w:val="26"/>
                <w:szCs w:val="26"/>
              </w:rPr>
              <w:t xml:space="preserve"> en su caso</w:t>
            </w:r>
            <w:r>
              <w:rPr>
                <w:rFonts w:ascii="Times New Roman" w:hAnsi="Times New Roman" w:cs="Times New Roman"/>
                <w:sz w:val="26"/>
                <w:szCs w:val="26"/>
              </w:rPr>
              <w:t>,</w:t>
            </w:r>
            <w:r w:rsidRPr="002D578A">
              <w:rPr>
                <w:rFonts w:ascii="Times New Roman" w:hAnsi="Times New Roman" w:cs="Times New Roman"/>
                <w:sz w:val="26"/>
                <w:szCs w:val="26"/>
              </w:rPr>
              <w:t xml:space="preserve"> el seguro que se hubiere financiado. A este monto se le adicionarán cualquier tipo de intereses que conforme al esquema de pagos del crédito, se vayan devengando.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 xml:space="preserve">En los casos en que el cobro de los intereses se realice por anticipado, </w:t>
            </w:r>
            <w:r>
              <w:rPr>
                <w:rFonts w:ascii="Times New Roman" w:hAnsi="Times New Roman" w:cs="Times New Roman"/>
                <w:sz w:val="26"/>
                <w:szCs w:val="26"/>
              </w:rPr>
              <w:t>e</w:t>
            </w:r>
            <w:r w:rsidRPr="002D578A">
              <w:rPr>
                <w:rFonts w:ascii="Times New Roman" w:hAnsi="Times New Roman" w:cs="Times New Roman"/>
                <w:sz w:val="26"/>
                <w:szCs w:val="26"/>
              </w:rPr>
              <w:t>stos se reconocerán como un cobro anticipado en el rubro de créditos diferidos y cobros anticipados</w:t>
            </w:r>
            <w:r>
              <w:rPr>
                <w:rFonts w:ascii="Times New Roman" w:hAnsi="Times New Roman" w:cs="Times New Roman"/>
                <w:sz w:val="26"/>
                <w:szCs w:val="26"/>
              </w:rPr>
              <w:t>. Dicho cobro</w:t>
            </w:r>
            <w:r w:rsidRPr="002D578A">
              <w:rPr>
                <w:rFonts w:ascii="Times New Roman" w:hAnsi="Times New Roman" w:cs="Times New Roman"/>
                <w:sz w:val="26"/>
                <w:szCs w:val="26"/>
              </w:rPr>
              <w:t xml:space="preserve"> se amortizará durante la vida del crédito bajo el método de línea recta contra los resultados del ejercicio, en el rubro de ingresos por intereses.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sz w:val="26"/>
                <w:szCs w:val="26"/>
                <w:u w:val="single"/>
              </w:rPr>
            </w:pPr>
            <w:r w:rsidRPr="002D578A">
              <w:rPr>
                <w:rFonts w:ascii="Times New Roman" w:hAnsi="Times New Roman" w:cs="Times New Roman"/>
                <w:sz w:val="26"/>
                <w:szCs w:val="26"/>
                <w:u w:val="single"/>
              </w:rPr>
              <w:t>Líneas de crédito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u w:val="single"/>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En el caso de líneas de crédito que la entidad hubiere otorgado, en las cuales no todo el monto autorizado esté ejercido, la parte no utilizada de las mismas deberá mantenerse en cuentas de orden.</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u w:val="single"/>
              </w:rPr>
            </w:pPr>
          </w:p>
          <w:p w:rsidR="00883C34" w:rsidRPr="002D578A" w:rsidRDefault="00883C34" w:rsidP="00B611D7">
            <w:pPr>
              <w:pStyle w:val="Texto"/>
              <w:spacing w:after="0" w:line="240" w:lineRule="auto"/>
              <w:ind w:firstLine="0"/>
              <w:contextualSpacing/>
              <w:rPr>
                <w:rFonts w:ascii="Times New Roman" w:hAnsi="Times New Roman" w:cs="Times New Roman"/>
                <w:sz w:val="26"/>
                <w:szCs w:val="26"/>
                <w:u w:val="single"/>
              </w:rPr>
            </w:pPr>
            <w:r w:rsidRPr="002D578A">
              <w:rPr>
                <w:rFonts w:ascii="Times New Roman" w:hAnsi="Times New Roman" w:cs="Times New Roman"/>
                <w:sz w:val="26"/>
                <w:szCs w:val="26"/>
                <w:u w:val="single"/>
              </w:rPr>
              <w:t>Pagos parciales en especie</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u w:val="single"/>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 xml:space="preserve">Los pagos parciales que se reciban en especie para cubrir las amortizaciones (principal </w:t>
            </w:r>
            <w:r>
              <w:rPr>
                <w:rFonts w:ascii="Times New Roman" w:hAnsi="Times New Roman" w:cs="Times New Roman"/>
                <w:sz w:val="26"/>
                <w:szCs w:val="26"/>
              </w:rPr>
              <w:t>e</w:t>
            </w:r>
            <w:r w:rsidRPr="002D578A">
              <w:rPr>
                <w:rFonts w:ascii="Times New Roman" w:hAnsi="Times New Roman" w:cs="Times New Roman"/>
                <w:sz w:val="26"/>
                <w:szCs w:val="26"/>
              </w:rPr>
              <w:t>/o intereses) devengadas o</w:t>
            </w:r>
            <w:r>
              <w:rPr>
                <w:rFonts w:ascii="Times New Roman" w:hAnsi="Times New Roman" w:cs="Times New Roman"/>
                <w:sz w:val="26"/>
                <w:szCs w:val="26"/>
              </w:rPr>
              <w:t>,</w:t>
            </w:r>
            <w:r w:rsidRPr="002D578A">
              <w:rPr>
                <w:rFonts w:ascii="Times New Roman" w:hAnsi="Times New Roman" w:cs="Times New Roman"/>
                <w:sz w:val="26"/>
                <w:szCs w:val="26"/>
              </w:rPr>
              <w:t xml:space="preserve"> en su caso vencidas, se registrarán conforme a lo establecido en el criterio B-5 “Bienes adjudicados”.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sz w:val="26"/>
                <w:szCs w:val="26"/>
                <w:u w:val="single"/>
              </w:rPr>
            </w:pPr>
            <w:r w:rsidRPr="002D578A">
              <w:rPr>
                <w:rFonts w:ascii="Times New Roman" w:hAnsi="Times New Roman" w:cs="Times New Roman"/>
                <w:sz w:val="26"/>
                <w:szCs w:val="26"/>
                <w:u w:val="single"/>
              </w:rPr>
              <w:t>Operaciones de arrendamiento capitalizable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En las operaciones de arrendamiento capitalizable, es decir aqu</w:t>
            </w:r>
            <w:r>
              <w:rPr>
                <w:rFonts w:ascii="Times New Roman" w:hAnsi="Times New Roman" w:cs="Times New Roman"/>
                <w:sz w:val="26"/>
                <w:szCs w:val="26"/>
              </w:rPr>
              <w:t>e</w:t>
            </w:r>
            <w:r w:rsidRPr="002D578A">
              <w:rPr>
                <w:rFonts w:ascii="Times New Roman" w:hAnsi="Times New Roman" w:cs="Times New Roman"/>
                <w:sz w:val="26"/>
                <w:szCs w:val="26"/>
              </w:rPr>
              <w:t xml:space="preserve">llas que cumplan con los requisitos establecidos en el criterio A-2 “Aplicación de normas particulares”, en las que la entidad funja como arrendador, </w:t>
            </w:r>
            <w:r>
              <w:rPr>
                <w:rFonts w:ascii="Times New Roman" w:hAnsi="Times New Roman" w:cs="Times New Roman"/>
                <w:sz w:val="26"/>
                <w:szCs w:val="26"/>
              </w:rPr>
              <w:t xml:space="preserve">esta </w:t>
            </w:r>
            <w:r w:rsidRPr="002D578A">
              <w:rPr>
                <w:rFonts w:ascii="Times New Roman" w:hAnsi="Times New Roman" w:cs="Times New Roman"/>
                <w:sz w:val="26"/>
                <w:szCs w:val="26"/>
              </w:rPr>
              <w:t xml:space="preserve">reconocerá al inicio del contrato dentro de su cartera de crédito el valor contractual de la </w:t>
            </w:r>
            <w:r w:rsidRPr="002D578A">
              <w:rPr>
                <w:rFonts w:ascii="Times New Roman" w:hAnsi="Times New Roman" w:cs="Times New Roman"/>
                <w:sz w:val="26"/>
                <w:szCs w:val="26"/>
              </w:rPr>
              <w:lastRenderedPageBreak/>
              <w:t>operación de arrendamiento, contra la salida de efectivo y el correspondiente ingreso financiero por devengar. Dicho ingreso financiero por devengar se registrará como un crédito diferido, el cual se reconocerá en función del saldo insoluto del crédito contra los resultados del ejercicio, en el rubro de ingresos por intereses.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lastRenderedPageBreak/>
              <w:t xml:space="preserve">Por los depósitos en garantía que reciba el arrendador, </w:t>
            </w:r>
            <w:r>
              <w:rPr>
                <w:rFonts w:ascii="Times New Roman" w:hAnsi="Times New Roman" w:cs="Times New Roman"/>
                <w:sz w:val="26"/>
                <w:szCs w:val="26"/>
              </w:rPr>
              <w:t>e</w:t>
            </w:r>
            <w:r w:rsidRPr="002D578A">
              <w:rPr>
                <w:rFonts w:ascii="Times New Roman" w:hAnsi="Times New Roman" w:cs="Times New Roman"/>
                <w:sz w:val="26"/>
                <w:szCs w:val="26"/>
              </w:rPr>
              <w:t>ste deberá registrar la entrada de efectivo contra el pasivo correspondiente.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En el momento en que el arrendatario se obligue a adoptar la opción de compra a precio reducido, la entidad deberá reconocer su importe como parte de los créditos por operaciones de arrendamiento capitalizable, contra un crédito diferido el cual se amortizará en línea recta durante el plazo restante del contrato. En caso de que la opción de compra se adopte al vencimiento, en dicha fecha el ingreso se reconocerá directamente en resultados.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Cuando el arrendatario opte por participar del precio de venta de los bienes a un tercero, la entidad reconocerá el ingreso que le corresponda al momento de la venta contra los resultados del ejercicio como otros ingresos (egresos) de la operación.</w:t>
            </w:r>
          </w:p>
          <w:p w:rsidR="00883C34"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sz w:val="26"/>
                <w:szCs w:val="26"/>
                <w:u w:val="single"/>
              </w:rPr>
            </w:pPr>
            <w:r>
              <w:rPr>
                <w:rFonts w:ascii="Times New Roman" w:hAnsi="Times New Roman" w:cs="Times New Roman"/>
                <w:sz w:val="26"/>
                <w:szCs w:val="26"/>
                <w:u w:val="single"/>
              </w:rPr>
              <w:t>Operaciones de factoraje financiero</w:t>
            </w:r>
          </w:p>
          <w:p w:rsidR="00883C34" w:rsidRPr="002D578A" w:rsidRDefault="00883C34" w:rsidP="00697DB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sz w:val="26"/>
                <w:szCs w:val="26"/>
              </w:rPr>
            </w:pPr>
            <w:r w:rsidRPr="0005539E">
              <w:rPr>
                <w:rFonts w:ascii="Times New Roman" w:hAnsi="Times New Roman"/>
                <w:sz w:val="26"/>
                <w:szCs w:val="26"/>
              </w:rPr>
              <w:t>Al inicio de la operación se reconocerá en el activo el valor de la cartera recibida contra la salida del efectivo, el aforo pactado reconocido como otras cuentas por pagar y, en su caso, el ingreso financiero por devengar que derive de operaciones de factoraje.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sz w:val="26"/>
                <w:szCs w:val="26"/>
              </w:rPr>
            </w:pPr>
            <w:r w:rsidRPr="0005539E">
              <w:rPr>
                <w:rFonts w:ascii="Times New Roman" w:hAnsi="Times New Roman"/>
                <w:sz w:val="26"/>
                <w:szCs w:val="26"/>
                <w:lang w:val="es-MX"/>
              </w:rPr>
              <w:t>El ingreso financiero por devengar a que se refiere el párrafo anterior, se determinará, en su caso, por l</w:t>
            </w:r>
            <w:r w:rsidRPr="0005539E">
              <w:rPr>
                <w:rFonts w:ascii="Times New Roman" w:hAnsi="Times New Roman"/>
                <w:sz w:val="26"/>
                <w:szCs w:val="26"/>
              </w:rPr>
              <w:t>a diferencia entre el valor de la cartera recibida deducida del aforo y la salida de efectivo. Dicho ingreso financiero por devengar deberá reconocerse dentro del rubro de créditos diferidos y cobros anticipados y amortizarse bajo el método de línea recta durante la vida del crédito, en el rubro de ingresos por intereses.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lang w:val="es-MX"/>
              </w:rPr>
            </w:pPr>
          </w:p>
        </w:tc>
      </w:tr>
      <w:tr w:rsidR="00883C34" w:rsidRPr="002D578A" w:rsidTr="00883C34">
        <w:tc>
          <w:tcPr>
            <w:tcW w:w="8789" w:type="dxa"/>
            <w:gridSpan w:val="2"/>
          </w:tcPr>
          <w:p w:rsidR="00883C34" w:rsidRDefault="00883C34" w:rsidP="00111F77">
            <w:pPr>
              <w:pStyle w:val="Texto"/>
              <w:spacing w:after="0" w:line="240" w:lineRule="auto"/>
              <w:ind w:firstLine="0"/>
              <w:contextualSpacing/>
              <w:rPr>
                <w:rFonts w:ascii="Times New Roman" w:hAnsi="Times New Roman"/>
                <w:sz w:val="26"/>
                <w:szCs w:val="26"/>
              </w:rPr>
            </w:pPr>
            <w:r w:rsidRPr="0005539E">
              <w:rPr>
                <w:rFonts w:ascii="Times New Roman" w:hAnsi="Times New Roman"/>
                <w:sz w:val="26"/>
                <w:szCs w:val="26"/>
              </w:rPr>
              <w:t>En el evento de que la operación genere intereses, estos se reconocerán conforme se devenguen.</w:t>
            </w:r>
          </w:p>
          <w:p w:rsidR="00883C34" w:rsidRPr="002D578A" w:rsidRDefault="00883C34" w:rsidP="00111F7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05539E" w:rsidRDefault="00883C34" w:rsidP="00111F77">
            <w:pPr>
              <w:pStyle w:val="Texto"/>
              <w:spacing w:after="120" w:line="240" w:lineRule="auto"/>
              <w:ind w:firstLine="0"/>
              <w:rPr>
                <w:rFonts w:ascii="Times New Roman" w:hAnsi="Times New Roman"/>
                <w:sz w:val="26"/>
                <w:szCs w:val="26"/>
                <w:u w:val="single"/>
              </w:rPr>
            </w:pPr>
            <w:r w:rsidRPr="0005539E">
              <w:rPr>
                <w:rFonts w:ascii="Times New Roman" w:hAnsi="Times New Roman"/>
                <w:sz w:val="26"/>
                <w:szCs w:val="26"/>
              </w:rPr>
              <w:t>El monto de los anticipos que, en su caso, se otorguen al factorado se reconocerá como parte de las operaciones de factoraje financiero, dentro del concepto de créditos comerciales.</w:t>
            </w:r>
          </w:p>
          <w:p w:rsidR="00883C34" w:rsidRPr="002D578A" w:rsidRDefault="00883C34" w:rsidP="00111F77">
            <w:pPr>
              <w:pStyle w:val="Texto"/>
              <w:spacing w:after="0" w:line="240" w:lineRule="auto"/>
              <w:ind w:firstLine="0"/>
              <w:contextualSpacing/>
              <w:rPr>
                <w:rFonts w:ascii="Times New Roman" w:hAnsi="Times New Roman" w:cs="Times New Roman"/>
                <w:sz w:val="26"/>
                <w:szCs w:val="26"/>
              </w:rPr>
            </w:pPr>
          </w:p>
          <w:p w:rsidR="00883C34" w:rsidRPr="002D578A" w:rsidRDefault="00883C34" w:rsidP="00111F77">
            <w:pPr>
              <w:pStyle w:val="Texto"/>
              <w:spacing w:after="0" w:line="240" w:lineRule="auto"/>
              <w:ind w:firstLine="0"/>
              <w:contextualSpacing/>
              <w:rPr>
                <w:rFonts w:ascii="Times New Roman" w:hAnsi="Times New Roman" w:cs="Times New Roman"/>
                <w:iCs/>
                <w:sz w:val="26"/>
                <w:szCs w:val="26"/>
                <w:u w:val="single"/>
              </w:rPr>
            </w:pPr>
            <w:r w:rsidRPr="002D578A">
              <w:rPr>
                <w:rFonts w:ascii="Times New Roman" w:hAnsi="Times New Roman" w:cs="Times New Roman"/>
                <w:iCs/>
                <w:sz w:val="26"/>
                <w:szCs w:val="26"/>
                <w:u w:val="single"/>
              </w:rPr>
              <w:t>Comisiones cobradas por el otorgamiento del crédito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120" w:line="240" w:lineRule="auto"/>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lastRenderedPageBreak/>
              <w:t xml:space="preserve">Las comisiones cobradas por el otorgamiento del crédito se registrarán como un crédito diferido, el cual se amortizará contra los resultados del ejercicio como un ingreso por intereses, bajo el método de línea recta durante la vida del crédito, excepto las que se originen por créditos revolventes que deberán ser amortizadas por un periodo de 12 meses. </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Tratándose de las comisiones cobradas por reestructuraciones o renovaciones de créditos, deberán adicionarse a las comisiones que se hubieran originado conforme al párrafo anterior reconociéndose como un crédito diferido, el cual se amortizará contra los resultados del ejercicio como un ingreso por intereses, bajo el método de línea recta durante el nuevo plazo del crédito.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No entrarán en esta categoría las comisiones que se reconozcan con posterioridad al otorgamiento del crédito, aquellas que se generen como parte del mantenimiento de dichos créditos, ni las que se cobren con motivo de créditos que no hayan sido colocados. En el caso de comisiones cobradas por concepto de anualidad de tarjeta de crédito, ya sea la primera anualidad o subsecuentes por concepto de renovación, se reconocerán como un crédito diferido y serán amortizadas en un periodo de 12 meses contra los resultados del ejercicio en el citado rubro de comisiones y tarifas cobradas.</w:t>
            </w: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Asimismo, en el caso de las comisiones cobradas que se originen por el otorgamiento de una línea de crédito que no haya sido dispuesta, en ese momento se reconocerán como un crédito diferido, el cual se amortizará contra los resultados del ejercicio como un ingreso por intereses, bajo el método de línea recta por un periodo de 12 meses. En caso de que la línea de crédito se cancele antes de que concluya el periodo de los 12 meses antes señalado, el saldo pendiente por amortizar deberá reconocerse directamente en los resultados del ejercicio en el rubro de comisiones y tarifas cobradas, en la fecha en que ocurra la cancelación de la línea.</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i/>
                <w:iCs/>
                <w:sz w:val="26"/>
                <w:szCs w:val="26"/>
              </w:rPr>
            </w:pPr>
            <w:r w:rsidRPr="002D578A">
              <w:rPr>
                <w:rFonts w:ascii="Times New Roman" w:hAnsi="Times New Roman" w:cs="Times New Roman"/>
                <w:i/>
                <w:iCs/>
                <w:sz w:val="26"/>
                <w:szCs w:val="26"/>
              </w:rPr>
              <w:t>Costos y gastos asociados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Los costos y gastos asociados con el otorgamiento del crédito, se reconocerán como un cargo diferido, el cual se amortizará contra los resultados del ejercicio como un gasto por intereses, durante el mismo periodo contable en el que se reconozcan los ingresos por comisiones cobradas por el otorgamiento del crédito a que se refiere la presente sección.</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Para efectos del párrafo anterior, se entenderá</w:t>
            </w:r>
            <w:r>
              <w:rPr>
                <w:rFonts w:ascii="Times New Roman" w:hAnsi="Times New Roman" w:cs="Times New Roman"/>
                <w:sz w:val="26"/>
                <w:szCs w:val="26"/>
              </w:rPr>
              <w:t>n</w:t>
            </w:r>
            <w:r w:rsidRPr="002D578A">
              <w:rPr>
                <w:rFonts w:ascii="Times New Roman" w:hAnsi="Times New Roman" w:cs="Times New Roman"/>
                <w:sz w:val="26"/>
                <w:szCs w:val="26"/>
              </w:rPr>
              <w:t xml:space="preserve"> como costos o gastos asociados con el otorgamiento del crédito, únicamente a aqu</w:t>
            </w:r>
            <w:r>
              <w:rPr>
                <w:rFonts w:ascii="Times New Roman" w:hAnsi="Times New Roman" w:cs="Times New Roman"/>
                <w:sz w:val="26"/>
                <w:szCs w:val="26"/>
              </w:rPr>
              <w:t>e</w:t>
            </w:r>
            <w:r w:rsidRPr="002D578A">
              <w:rPr>
                <w:rFonts w:ascii="Times New Roman" w:hAnsi="Times New Roman" w:cs="Times New Roman"/>
                <w:sz w:val="26"/>
                <w:szCs w:val="26"/>
              </w:rPr>
              <w:t xml:space="preserve">llos que sean incrementales y relacionados directamente con actividades realizadas por las entidades para otorgar </w:t>
            </w:r>
            <w:r w:rsidRPr="002D578A">
              <w:rPr>
                <w:rFonts w:ascii="Times New Roman" w:hAnsi="Times New Roman" w:cs="Times New Roman"/>
                <w:sz w:val="26"/>
                <w:szCs w:val="26"/>
              </w:rPr>
              <w:lastRenderedPageBreak/>
              <w:t>el crédito, por ejemplo la evaluación crediticia del deudor, evaluación y reconocimiento de las garantías, negociaciones para los términos del crédito, preparación y proceso de la documentación del crédito y cierre o cancelación de la transacción, incluyendo la proporción de la compensación a empleados directamente relacionada con el tiempo invertido en el desarrollo de esas actividades.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lastRenderedPageBreak/>
              <w:t>Cualquier otro costo o gasto que no esté comprendido en el párrafo anterior, entre ellos los relacionados con promoción, publicidad, clientes potenciales, administración de los créditos existentes (seguimiento, control, recuperaciones, etc.) y otras actividades auxiliares relacionadas con el establecimiento y monitoreo de políticas de crédito</w:t>
            </w:r>
            <w:r>
              <w:rPr>
                <w:rFonts w:ascii="Times New Roman" w:hAnsi="Times New Roman" w:cs="Times New Roman"/>
                <w:sz w:val="26"/>
                <w:szCs w:val="26"/>
              </w:rPr>
              <w:t>,</w:t>
            </w:r>
            <w:r w:rsidRPr="002D578A">
              <w:rPr>
                <w:rFonts w:ascii="Times New Roman" w:hAnsi="Times New Roman" w:cs="Times New Roman"/>
                <w:sz w:val="26"/>
                <w:szCs w:val="26"/>
              </w:rPr>
              <w:t xml:space="preserve"> serán reconocidos directamente en los resultados del ejercicio conforme se devenguen en el rubro que corresponda de acuerdo a la naturaleza del costo o gasto. En el caso de costos y gastos asociados al otorgamiento de tarjetas de crédito, </w:t>
            </w:r>
            <w:r>
              <w:rPr>
                <w:rFonts w:ascii="Times New Roman" w:hAnsi="Times New Roman" w:cs="Times New Roman"/>
                <w:sz w:val="26"/>
                <w:szCs w:val="26"/>
              </w:rPr>
              <w:t>e</w:t>
            </w:r>
            <w:r w:rsidRPr="002D578A">
              <w:rPr>
                <w:rFonts w:ascii="Times New Roman" w:hAnsi="Times New Roman" w:cs="Times New Roman"/>
                <w:sz w:val="26"/>
                <w:szCs w:val="26"/>
              </w:rPr>
              <w:t>stos se reconocerán como un cargo diferido, el cual se amortizará en un periodo de 12 meses contra los resultados del ejercicio en el rubro que corresponda de acuerdo a la naturaleza del costo o gasto.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D24A06">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Las comisiones cobradas o pendientes de cobro, así como los costos y gastos asociados relativos al otorgamiento del crédito, no formarán parte de la cartera de crédito.</w:t>
            </w:r>
          </w:p>
          <w:p w:rsidR="00883C34" w:rsidRDefault="00883C34" w:rsidP="00D24A06">
            <w:pPr>
              <w:pStyle w:val="Texto"/>
              <w:spacing w:after="0" w:line="240" w:lineRule="auto"/>
              <w:ind w:firstLine="0"/>
              <w:contextualSpacing/>
              <w:rPr>
                <w:rFonts w:ascii="Times New Roman" w:hAnsi="Times New Roman" w:cs="Times New Roman"/>
                <w:sz w:val="26"/>
                <w:szCs w:val="26"/>
              </w:rPr>
            </w:pPr>
          </w:p>
          <w:p w:rsidR="00883C34" w:rsidRPr="002D578A" w:rsidRDefault="00883C34" w:rsidP="00D24A06">
            <w:pPr>
              <w:pStyle w:val="Texto"/>
              <w:spacing w:after="0" w:line="240" w:lineRule="auto"/>
              <w:ind w:firstLine="0"/>
              <w:contextualSpacing/>
              <w:rPr>
                <w:rFonts w:ascii="Times New Roman" w:hAnsi="Times New Roman" w:cs="Times New Roman"/>
                <w:b/>
                <w:bCs/>
                <w:color w:val="4F81BD" w:themeColor="accent1"/>
                <w:sz w:val="26"/>
                <w:szCs w:val="26"/>
              </w:rPr>
            </w:pPr>
            <w:r>
              <w:rPr>
                <w:rFonts w:ascii="Times New Roman" w:hAnsi="Times New Roman" w:cs="Times New Roman"/>
                <w:sz w:val="26"/>
                <w:szCs w:val="26"/>
                <w:u w:val="single"/>
              </w:rPr>
              <w:t>Comisiones y tarifas cobradas</w:t>
            </w:r>
            <w:r w:rsidRPr="002D578A">
              <w:rPr>
                <w:rFonts w:ascii="Times New Roman" w:hAnsi="Times New Roman" w:cs="Times New Roman"/>
                <w:b/>
                <w:sz w:val="26"/>
                <w:szCs w:val="26"/>
              </w:rPr>
              <w:t xml:space="preserve"> </w:t>
            </w:r>
          </w:p>
          <w:p w:rsidR="00883C34" w:rsidRPr="00D24A06" w:rsidRDefault="00883C34">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D24A06">
            <w:pPr>
              <w:pStyle w:val="Texto"/>
              <w:spacing w:after="120" w:line="240" w:lineRule="auto"/>
              <w:ind w:firstLine="0"/>
              <w:rPr>
                <w:rFonts w:ascii="Times New Roman" w:hAnsi="Times New Roman"/>
                <w:sz w:val="26"/>
                <w:szCs w:val="26"/>
              </w:rPr>
            </w:pPr>
            <w:r w:rsidRPr="0005539E">
              <w:rPr>
                <w:rFonts w:ascii="Times New Roman" w:hAnsi="Times New Roman"/>
                <w:sz w:val="26"/>
                <w:szCs w:val="26"/>
              </w:rPr>
              <w:t>Las comisiones y tarifas distintas a las cobradas por el otorgamiento del crédito, se reconocerán contra los resultados de ejercicio en el rubro de comisiones y tarifas cobradas, en la fecha en que se devenguen. En el caso de que una parte o la totalidad de la contraprestación recibida por el cobro de la comisión o tarifa correspondiente se reciba anticipadamente a la devengación del ingreso relativo, dicho anticipo deberá reconocerse como un pasivo.</w:t>
            </w:r>
          </w:p>
          <w:p w:rsidR="00883C34" w:rsidRDefault="00883C34" w:rsidP="00D24A06">
            <w:pPr>
              <w:pStyle w:val="Texto"/>
              <w:spacing w:after="120" w:line="240" w:lineRule="auto"/>
              <w:ind w:firstLine="0"/>
              <w:rPr>
                <w:rFonts w:ascii="Times New Roman" w:hAnsi="Times New Roman"/>
                <w:sz w:val="26"/>
                <w:szCs w:val="26"/>
                <w:u w:val="single"/>
              </w:rPr>
            </w:pPr>
          </w:p>
          <w:p w:rsidR="00883C34" w:rsidRPr="002D578A" w:rsidRDefault="00883C34" w:rsidP="00111F77">
            <w:pPr>
              <w:pStyle w:val="Texto"/>
              <w:spacing w:after="0" w:line="240" w:lineRule="auto"/>
              <w:ind w:firstLine="0"/>
              <w:contextualSpacing/>
              <w:rPr>
                <w:rFonts w:ascii="Times New Roman" w:hAnsi="Times New Roman" w:cs="Times New Roman"/>
                <w:b/>
                <w:sz w:val="26"/>
                <w:szCs w:val="26"/>
              </w:rPr>
            </w:pPr>
            <w:r w:rsidRPr="002D578A">
              <w:rPr>
                <w:rFonts w:ascii="Times New Roman" w:hAnsi="Times New Roman" w:cs="Times New Roman"/>
                <w:b/>
                <w:sz w:val="26"/>
                <w:szCs w:val="26"/>
              </w:rPr>
              <w:t>Traspaso a cartera vencida</w:t>
            </w:r>
          </w:p>
          <w:p w:rsidR="00883C34" w:rsidRPr="002D578A" w:rsidRDefault="00883C34" w:rsidP="00D24A06">
            <w:pPr>
              <w:pStyle w:val="Texto"/>
              <w:spacing w:after="120" w:line="240" w:lineRule="auto"/>
              <w:ind w:firstLine="0"/>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120" w:line="240" w:lineRule="auto"/>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 xml:space="preserve">El saldo insoluto conforme a las condiciones </w:t>
            </w:r>
            <w:r>
              <w:rPr>
                <w:rFonts w:ascii="Times New Roman" w:hAnsi="Times New Roman" w:cs="Times New Roman"/>
                <w:sz w:val="26"/>
                <w:szCs w:val="26"/>
              </w:rPr>
              <w:t xml:space="preserve">de pago </w:t>
            </w:r>
            <w:r w:rsidRPr="002D578A">
              <w:rPr>
                <w:rFonts w:ascii="Times New Roman" w:hAnsi="Times New Roman" w:cs="Times New Roman"/>
                <w:sz w:val="26"/>
                <w:szCs w:val="26"/>
              </w:rPr>
              <w:t>establecidas en el contrato del crédito, será registrado como cartera vencida cuando: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numPr>
                <w:ilvl w:val="2"/>
                <w:numId w:val="82"/>
              </w:numPr>
              <w:spacing w:after="0" w:line="240" w:lineRule="auto"/>
              <w:ind w:left="282" w:hanging="284"/>
              <w:contextualSpacing/>
              <w:rPr>
                <w:rFonts w:ascii="Times New Roman" w:hAnsi="Times New Roman" w:cs="Times New Roman"/>
                <w:sz w:val="26"/>
                <w:szCs w:val="26"/>
              </w:rPr>
            </w:pPr>
            <w:r w:rsidRPr="002D578A">
              <w:rPr>
                <w:rFonts w:ascii="Times New Roman" w:hAnsi="Times New Roman" w:cs="Times New Roman"/>
                <w:sz w:val="26"/>
                <w:szCs w:val="26"/>
              </w:rPr>
              <w:t>se tenga conocimiento de que el acreditado es declarado en concurso mercantil, conforme a la Ley de Concursos Mercantiles, o</w:t>
            </w:r>
          </w:p>
          <w:p w:rsidR="00883C34" w:rsidRPr="002D578A" w:rsidRDefault="00883C34" w:rsidP="00B611D7">
            <w:pPr>
              <w:pStyle w:val="Texto"/>
              <w:numPr>
                <w:ilvl w:val="2"/>
                <w:numId w:val="82"/>
              </w:numPr>
              <w:spacing w:after="0" w:line="240" w:lineRule="auto"/>
              <w:ind w:left="282" w:hanging="284"/>
              <w:contextualSpacing/>
              <w:rPr>
                <w:rFonts w:ascii="Times New Roman" w:hAnsi="Times New Roman" w:cs="Times New Roman"/>
                <w:sz w:val="26"/>
                <w:szCs w:val="26"/>
              </w:rPr>
            </w:pPr>
            <w:r w:rsidRPr="002D578A">
              <w:rPr>
                <w:rFonts w:ascii="Times New Roman" w:hAnsi="Times New Roman" w:cs="Times New Roman"/>
                <w:sz w:val="26"/>
                <w:szCs w:val="26"/>
              </w:rPr>
              <w:t>sus amortizaciones no hayan sido liquidadas en su totalidad en los términos pactados originalmente, considerando al efecto lo siguiente:</w:t>
            </w:r>
          </w:p>
          <w:p w:rsidR="00883C34" w:rsidRPr="002D578A" w:rsidRDefault="00883C34" w:rsidP="00B611D7">
            <w:pPr>
              <w:pStyle w:val="Texto"/>
              <w:numPr>
                <w:ilvl w:val="0"/>
                <w:numId w:val="123"/>
              </w:numPr>
              <w:spacing w:after="0" w:line="240" w:lineRule="auto"/>
              <w:ind w:left="707" w:hanging="425"/>
              <w:contextualSpacing/>
              <w:rPr>
                <w:rFonts w:ascii="Times New Roman" w:hAnsi="Times New Roman" w:cs="Times New Roman"/>
                <w:sz w:val="26"/>
                <w:szCs w:val="26"/>
              </w:rPr>
            </w:pPr>
            <w:r w:rsidRPr="002D578A">
              <w:rPr>
                <w:rFonts w:ascii="Times New Roman" w:hAnsi="Times New Roman" w:cs="Times New Roman"/>
                <w:sz w:val="26"/>
                <w:szCs w:val="26"/>
              </w:rPr>
              <w:t>si los adeudos consisten en créditos con pago único de principal e intereses al vencimiento y presentan</w:t>
            </w:r>
            <w:bookmarkStart w:id="0" w:name="_GoBack"/>
            <w:bookmarkEnd w:id="0"/>
            <w:r w:rsidRPr="002D578A">
              <w:rPr>
                <w:rFonts w:ascii="Times New Roman" w:hAnsi="Times New Roman" w:cs="Times New Roman"/>
                <w:sz w:val="26"/>
                <w:szCs w:val="26"/>
              </w:rPr>
              <w:t xml:space="preserve"> 30 </w:t>
            </w:r>
            <w:r>
              <w:rPr>
                <w:rFonts w:ascii="Times New Roman" w:hAnsi="Times New Roman" w:cs="Times New Roman"/>
                <w:sz w:val="26"/>
                <w:szCs w:val="26"/>
              </w:rPr>
              <w:t>ó</w:t>
            </w:r>
            <w:r w:rsidRPr="002D578A">
              <w:rPr>
                <w:rFonts w:ascii="Times New Roman" w:hAnsi="Times New Roman" w:cs="Times New Roman"/>
                <w:sz w:val="26"/>
                <w:szCs w:val="26"/>
              </w:rPr>
              <w:t xml:space="preserve"> más días naturales de vencidos;</w:t>
            </w:r>
          </w:p>
          <w:p w:rsidR="00883C34" w:rsidRPr="002D578A" w:rsidRDefault="00883C34" w:rsidP="00B611D7">
            <w:pPr>
              <w:pStyle w:val="Texto"/>
              <w:numPr>
                <w:ilvl w:val="0"/>
                <w:numId w:val="123"/>
              </w:numPr>
              <w:spacing w:after="0" w:line="240" w:lineRule="auto"/>
              <w:ind w:left="707" w:hanging="425"/>
              <w:contextualSpacing/>
              <w:rPr>
                <w:rFonts w:ascii="Times New Roman" w:hAnsi="Times New Roman" w:cs="Times New Roman"/>
                <w:sz w:val="26"/>
                <w:szCs w:val="26"/>
              </w:rPr>
            </w:pPr>
            <w:r w:rsidRPr="002D578A">
              <w:rPr>
                <w:rFonts w:ascii="Times New Roman" w:hAnsi="Times New Roman" w:cs="Times New Roman"/>
                <w:sz w:val="26"/>
                <w:szCs w:val="26"/>
              </w:rPr>
              <w:lastRenderedPageBreak/>
              <w:t xml:space="preserve">si los adeudos se refieren a créditos con pago único de principal al vencimiento y con pagos periódicos de intereses y presentan 90 </w:t>
            </w:r>
            <w:r>
              <w:rPr>
                <w:rFonts w:ascii="Times New Roman" w:hAnsi="Times New Roman" w:cs="Times New Roman"/>
                <w:sz w:val="26"/>
                <w:szCs w:val="26"/>
              </w:rPr>
              <w:t>ó</w:t>
            </w:r>
            <w:r w:rsidRPr="002D578A">
              <w:rPr>
                <w:rFonts w:ascii="Times New Roman" w:hAnsi="Times New Roman" w:cs="Times New Roman"/>
                <w:sz w:val="26"/>
                <w:szCs w:val="26"/>
              </w:rPr>
              <w:t xml:space="preserve"> más días naturales de vencido el pago de intereses respectivo, o bien 30 </w:t>
            </w:r>
            <w:r>
              <w:rPr>
                <w:rFonts w:ascii="Times New Roman" w:hAnsi="Times New Roman" w:cs="Times New Roman"/>
                <w:sz w:val="26"/>
                <w:szCs w:val="26"/>
              </w:rPr>
              <w:t>ó</w:t>
            </w:r>
            <w:r w:rsidRPr="002D578A">
              <w:rPr>
                <w:rFonts w:ascii="Times New Roman" w:hAnsi="Times New Roman" w:cs="Times New Roman"/>
                <w:sz w:val="26"/>
                <w:szCs w:val="26"/>
              </w:rPr>
              <w:t xml:space="preserve"> más días naturales de vencido el principal;</w:t>
            </w:r>
          </w:p>
          <w:p w:rsidR="00883C34" w:rsidRPr="002D578A" w:rsidRDefault="00883C34" w:rsidP="00B611D7">
            <w:pPr>
              <w:pStyle w:val="Texto"/>
              <w:numPr>
                <w:ilvl w:val="0"/>
                <w:numId w:val="123"/>
              </w:numPr>
              <w:spacing w:after="0" w:line="240" w:lineRule="auto"/>
              <w:ind w:left="707" w:hanging="425"/>
              <w:contextualSpacing/>
              <w:rPr>
                <w:rFonts w:ascii="Times New Roman" w:hAnsi="Times New Roman" w:cs="Times New Roman"/>
                <w:sz w:val="26"/>
                <w:szCs w:val="26"/>
              </w:rPr>
            </w:pPr>
            <w:r w:rsidRPr="002D578A">
              <w:rPr>
                <w:rFonts w:ascii="Times New Roman" w:hAnsi="Times New Roman" w:cs="Times New Roman"/>
                <w:sz w:val="26"/>
                <w:szCs w:val="26"/>
              </w:rPr>
              <w:t xml:space="preserve">si los adeudos consisten en créditos con pagos periódicos parciales de principal e intereses, incluyendo los créditos a la vivienda y presentan 90 </w:t>
            </w:r>
            <w:r>
              <w:rPr>
                <w:rFonts w:ascii="Times New Roman" w:hAnsi="Times New Roman" w:cs="Times New Roman"/>
                <w:sz w:val="26"/>
                <w:szCs w:val="26"/>
              </w:rPr>
              <w:t>ó</w:t>
            </w:r>
            <w:r w:rsidRPr="002D578A">
              <w:rPr>
                <w:rFonts w:ascii="Times New Roman" w:hAnsi="Times New Roman" w:cs="Times New Roman"/>
                <w:sz w:val="26"/>
                <w:szCs w:val="26"/>
              </w:rPr>
              <w:t xml:space="preserve"> más días naturales de vencidos;</w:t>
            </w:r>
          </w:p>
          <w:p w:rsidR="00883C34" w:rsidRPr="002D578A" w:rsidRDefault="00883C34" w:rsidP="00B611D7">
            <w:pPr>
              <w:pStyle w:val="Texto"/>
              <w:numPr>
                <w:ilvl w:val="0"/>
                <w:numId w:val="123"/>
              </w:numPr>
              <w:spacing w:after="0" w:line="240" w:lineRule="auto"/>
              <w:ind w:left="707" w:hanging="425"/>
              <w:contextualSpacing/>
              <w:rPr>
                <w:rFonts w:ascii="Times New Roman" w:hAnsi="Times New Roman" w:cs="Times New Roman"/>
                <w:sz w:val="26"/>
                <w:szCs w:val="26"/>
              </w:rPr>
            </w:pPr>
            <w:r w:rsidRPr="002D578A">
              <w:rPr>
                <w:rFonts w:ascii="Times New Roman" w:hAnsi="Times New Roman" w:cs="Times New Roman"/>
                <w:sz w:val="26"/>
                <w:szCs w:val="26"/>
              </w:rPr>
              <w:t xml:space="preserve">si los adeudos consisten en créditos revolventes y presentan dos periodos mensuales de facturación vencidos o, en caso de que el periodo de facturación sea </w:t>
            </w:r>
            <w:r w:rsidR="00E62016">
              <w:rPr>
                <w:rFonts w:ascii="Times New Roman" w:hAnsi="Times New Roman" w:cs="Times New Roman"/>
                <w:sz w:val="26"/>
                <w:szCs w:val="26"/>
              </w:rPr>
              <w:t>mayor</w:t>
            </w:r>
            <w:r w:rsidR="00E62016" w:rsidRPr="00DE6687">
              <w:rPr>
                <w:rFonts w:ascii="Times New Roman" w:hAnsi="Times New Roman" w:cs="Times New Roman"/>
                <w:sz w:val="26"/>
                <w:szCs w:val="26"/>
              </w:rPr>
              <w:t xml:space="preserve"> </w:t>
            </w:r>
            <w:r w:rsidRPr="00DE6687">
              <w:rPr>
                <w:rFonts w:ascii="Times New Roman" w:hAnsi="Times New Roman" w:cs="Times New Roman"/>
                <w:sz w:val="26"/>
                <w:szCs w:val="26"/>
              </w:rPr>
              <w:t>al mensual, el correspondiente a 60 ó más días naturales de venc</w:t>
            </w:r>
            <w:r w:rsidRPr="002D578A">
              <w:rPr>
                <w:rFonts w:ascii="Times New Roman" w:hAnsi="Times New Roman" w:cs="Times New Roman"/>
                <w:sz w:val="26"/>
                <w:szCs w:val="26"/>
              </w:rPr>
              <w:t>idos, y</w:t>
            </w:r>
          </w:p>
          <w:p w:rsidR="00883C34" w:rsidRPr="002D578A" w:rsidRDefault="00883C34" w:rsidP="00B611D7">
            <w:pPr>
              <w:pStyle w:val="Texto"/>
              <w:numPr>
                <w:ilvl w:val="0"/>
                <w:numId w:val="123"/>
              </w:numPr>
              <w:spacing w:after="0" w:line="240" w:lineRule="auto"/>
              <w:ind w:left="707" w:hanging="425"/>
              <w:contextualSpacing/>
              <w:rPr>
                <w:rFonts w:ascii="Times New Roman" w:hAnsi="Times New Roman" w:cs="Times New Roman"/>
                <w:sz w:val="26"/>
                <w:szCs w:val="26"/>
              </w:rPr>
            </w:pPr>
            <w:r w:rsidRPr="002D578A">
              <w:rPr>
                <w:rFonts w:ascii="Times New Roman" w:hAnsi="Times New Roman" w:cs="Times New Roman"/>
                <w:sz w:val="26"/>
                <w:szCs w:val="26"/>
              </w:rPr>
              <w:t>los documentos de cobro inmediato a que se refiere el criterio B-1 “Disponibilidades”, serán reportados como cartera vencida al momento en el cual se presente dicho evento.</w:t>
            </w:r>
          </w:p>
          <w:p w:rsidR="00883C34" w:rsidRPr="002D578A" w:rsidRDefault="00883C34" w:rsidP="00D24A06">
            <w:pPr>
              <w:pStyle w:val="Texto"/>
              <w:tabs>
                <w:tab w:val="left" w:pos="291"/>
              </w:tabs>
              <w:spacing w:after="0" w:line="240" w:lineRule="auto"/>
              <w:ind w:left="-90"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382C1C">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lastRenderedPageBreak/>
              <w:t>Por lo que respecta a los plazos de vencimiento a que se refiere el numeral 2 del párrafo anterior, podrán emplearse periodos mensuales, con independencia del número de días que tenga cada mes calendario, de conformidad con las equivalencias siguientes:</w:t>
            </w:r>
          </w:p>
          <w:tbl>
            <w:tblPr>
              <w:tblStyle w:val="Tablaconcuadrcula"/>
              <w:tblW w:w="0" w:type="auto"/>
              <w:tblInd w:w="2485" w:type="dxa"/>
              <w:tblLayout w:type="fixed"/>
              <w:tblLook w:val="04A0" w:firstRow="1" w:lastRow="0" w:firstColumn="1" w:lastColumn="0" w:noHBand="0" w:noVBand="1"/>
            </w:tblPr>
            <w:tblGrid>
              <w:gridCol w:w="1461"/>
              <w:gridCol w:w="1461"/>
            </w:tblGrid>
            <w:tr w:rsidR="00883C34" w:rsidRPr="002D578A" w:rsidTr="00111F77">
              <w:tc>
                <w:tcPr>
                  <w:tcW w:w="1461" w:type="dxa"/>
                </w:tcPr>
                <w:p w:rsidR="00883C34" w:rsidRPr="00D24A06" w:rsidRDefault="00883C34" w:rsidP="00111F77">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t>30 días</w:t>
                  </w:r>
                </w:p>
              </w:tc>
              <w:tc>
                <w:tcPr>
                  <w:tcW w:w="1461" w:type="dxa"/>
                </w:tcPr>
                <w:p w:rsidR="00883C34" w:rsidRPr="00D24A06" w:rsidRDefault="00883C34" w:rsidP="00111F77">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t>un mes</w:t>
                  </w:r>
                </w:p>
              </w:tc>
            </w:tr>
            <w:tr w:rsidR="00883C34" w:rsidRPr="002D578A" w:rsidTr="00111F77">
              <w:tc>
                <w:tcPr>
                  <w:tcW w:w="1461" w:type="dxa"/>
                </w:tcPr>
                <w:p w:rsidR="00883C34" w:rsidRPr="00D24A06" w:rsidRDefault="00883C34" w:rsidP="00111F77">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t>60 días</w:t>
                  </w:r>
                </w:p>
              </w:tc>
              <w:tc>
                <w:tcPr>
                  <w:tcW w:w="1461" w:type="dxa"/>
                </w:tcPr>
                <w:p w:rsidR="00883C34" w:rsidRPr="00D24A06" w:rsidRDefault="00883C34" w:rsidP="00111F77">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t>dos meses</w:t>
                  </w:r>
                </w:p>
              </w:tc>
            </w:tr>
            <w:tr w:rsidR="00883C34" w:rsidRPr="002D578A" w:rsidTr="00111F77">
              <w:tc>
                <w:tcPr>
                  <w:tcW w:w="1461" w:type="dxa"/>
                </w:tcPr>
                <w:p w:rsidR="00883C34" w:rsidRPr="00D24A06" w:rsidRDefault="00883C34" w:rsidP="00111F77">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t>90 días</w:t>
                  </w:r>
                </w:p>
              </w:tc>
              <w:tc>
                <w:tcPr>
                  <w:tcW w:w="1461" w:type="dxa"/>
                </w:tcPr>
                <w:p w:rsidR="00883C34" w:rsidRPr="00D24A06" w:rsidRDefault="00883C34" w:rsidP="00111F77">
                  <w:pPr>
                    <w:pStyle w:val="Texto"/>
                    <w:spacing w:after="120" w:line="240" w:lineRule="auto"/>
                    <w:ind w:firstLine="0"/>
                    <w:rPr>
                      <w:rFonts w:ascii="Times New Roman" w:hAnsi="Times New Roman" w:cs="Times New Roman"/>
                      <w:sz w:val="26"/>
                      <w:szCs w:val="26"/>
                    </w:rPr>
                  </w:pPr>
                  <w:r w:rsidRPr="00D24A06">
                    <w:rPr>
                      <w:rFonts w:ascii="Times New Roman" w:hAnsi="Times New Roman" w:cs="Times New Roman"/>
                      <w:sz w:val="26"/>
                      <w:szCs w:val="26"/>
                    </w:rPr>
                    <w:t>tres meses</w:t>
                  </w:r>
                </w:p>
              </w:tc>
            </w:tr>
          </w:tbl>
          <w:p w:rsidR="00883C34" w:rsidRPr="00D24A06" w:rsidRDefault="00883C34" w:rsidP="00D24A06">
            <w:pPr>
              <w:pStyle w:val="Texto"/>
              <w:spacing w:after="0" w:line="240" w:lineRule="auto"/>
              <w:ind w:firstLine="0"/>
              <w:rPr>
                <w:rFonts w:ascii="Times New Roman" w:hAnsi="Times New Roman" w:cs="Times New Roman"/>
                <w:sz w:val="16"/>
                <w:szCs w:val="26"/>
              </w:rPr>
            </w:pP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120" w:line="240" w:lineRule="auto"/>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Asimismo, en caso de que el plazo fijado venciera en un día inhábil</w:t>
            </w:r>
            <w:r>
              <w:rPr>
                <w:rFonts w:ascii="Times New Roman" w:hAnsi="Times New Roman" w:cs="Times New Roman"/>
                <w:sz w:val="26"/>
                <w:szCs w:val="26"/>
              </w:rPr>
              <w:t>,</w:t>
            </w:r>
            <w:r w:rsidRPr="00D24A06">
              <w:rPr>
                <w:rFonts w:ascii="Times New Roman" w:hAnsi="Times New Roman" w:cs="Times New Roman"/>
                <w:sz w:val="26"/>
                <w:szCs w:val="26"/>
              </w:rPr>
              <w:t xml:space="preserve"> se entenderá concluido dicho plazo el primer día hábil siguiente.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r w:rsidRPr="002D578A">
              <w:rPr>
                <w:rFonts w:ascii="Times New Roman" w:hAnsi="Times New Roman" w:cs="Times New Roman"/>
                <w:i/>
                <w:sz w:val="26"/>
                <w:szCs w:val="26"/>
              </w:rPr>
              <w:t>Reestructuraciones y renovaciones</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Los créditos vencidos que se reestructuren o renueven permanecerán dentro de la cartera vencida, en tanto no exista evidencia de pago sostenido.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Los créditos con pago único de principal al vencimiento</w:t>
            </w:r>
            <w:r>
              <w:rPr>
                <w:rFonts w:ascii="Times New Roman" w:hAnsi="Times New Roman" w:cs="Times New Roman"/>
                <w:sz w:val="26"/>
                <w:szCs w:val="26"/>
              </w:rPr>
              <w:t>,</w:t>
            </w:r>
            <w:r w:rsidRPr="002D578A">
              <w:rPr>
                <w:rFonts w:ascii="Times New Roman" w:hAnsi="Times New Roman" w:cs="Times New Roman"/>
                <w:sz w:val="26"/>
                <w:szCs w:val="26"/>
              </w:rPr>
              <w:t xml:space="preserve"> </w:t>
            </w:r>
            <w:r>
              <w:rPr>
                <w:rFonts w:ascii="Times New Roman" w:hAnsi="Times New Roman" w:cs="Times New Roman"/>
                <w:sz w:val="26"/>
                <w:szCs w:val="26"/>
              </w:rPr>
              <w:t>con independencia de que los</w:t>
            </w:r>
            <w:r w:rsidRPr="002D578A">
              <w:rPr>
                <w:rFonts w:ascii="Times New Roman" w:hAnsi="Times New Roman" w:cs="Times New Roman"/>
                <w:sz w:val="26"/>
                <w:szCs w:val="26"/>
              </w:rPr>
              <w:t xml:space="preserve"> intereses </w:t>
            </w:r>
            <w:r>
              <w:rPr>
                <w:rFonts w:ascii="Times New Roman" w:hAnsi="Times New Roman" w:cs="Times New Roman"/>
                <w:sz w:val="26"/>
                <w:szCs w:val="26"/>
              </w:rPr>
              <w:t xml:space="preserve">se paguen periódicamente o </w:t>
            </w:r>
            <w:r w:rsidRPr="002D578A">
              <w:rPr>
                <w:rFonts w:ascii="Times New Roman" w:hAnsi="Times New Roman" w:cs="Times New Roman"/>
                <w:sz w:val="26"/>
                <w:szCs w:val="26"/>
              </w:rPr>
              <w:t>al vencimiento</w:t>
            </w:r>
            <w:r>
              <w:rPr>
                <w:rFonts w:ascii="Times New Roman" w:hAnsi="Times New Roman" w:cs="Times New Roman"/>
                <w:sz w:val="26"/>
                <w:szCs w:val="26"/>
              </w:rPr>
              <w:t>,</w:t>
            </w:r>
            <w:r w:rsidRPr="002D578A">
              <w:rPr>
                <w:rFonts w:ascii="Times New Roman" w:hAnsi="Times New Roman" w:cs="Times New Roman"/>
                <w:sz w:val="26"/>
                <w:szCs w:val="26"/>
              </w:rPr>
              <w:t xml:space="preserve"> que se reestructuren durante </w:t>
            </w:r>
            <w:r>
              <w:rPr>
                <w:rFonts w:ascii="Times New Roman" w:hAnsi="Times New Roman" w:cs="Times New Roman"/>
                <w:sz w:val="26"/>
                <w:szCs w:val="26"/>
              </w:rPr>
              <w:t>su</w:t>
            </w:r>
            <w:r w:rsidRPr="002D578A">
              <w:rPr>
                <w:rFonts w:ascii="Times New Roman" w:hAnsi="Times New Roman" w:cs="Times New Roman"/>
                <w:sz w:val="26"/>
                <w:szCs w:val="26"/>
              </w:rPr>
              <w:t xml:space="preserve"> plazo o se renueven en cualquier momento</w:t>
            </w:r>
            <w:r>
              <w:rPr>
                <w:rFonts w:ascii="Times New Roman" w:hAnsi="Times New Roman" w:cs="Times New Roman"/>
                <w:sz w:val="26"/>
                <w:szCs w:val="26"/>
              </w:rPr>
              <w:t>,</w:t>
            </w:r>
            <w:r w:rsidRPr="002D578A">
              <w:rPr>
                <w:rFonts w:ascii="Times New Roman" w:hAnsi="Times New Roman" w:cs="Times New Roman"/>
                <w:sz w:val="26"/>
                <w:szCs w:val="26"/>
              </w:rPr>
              <w:t xml:space="preserve"> serán considerados como cartera vencida en tanto no exista evidencia de pago sostenido</w:t>
            </w:r>
            <w:r>
              <w:rPr>
                <w:rFonts w:ascii="Times New Roman" w:hAnsi="Times New Roman" w:cs="Times New Roman"/>
                <w:sz w:val="26"/>
                <w:szCs w:val="26"/>
              </w:rPr>
              <w:t>, de conformidad con lo establecido en el párrafo 32 del presente criterio</w:t>
            </w:r>
            <w:r w:rsidRPr="002D578A">
              <w:rPr>
                <w:rFonts w:ascii="Times New Roman" w:hAnsi="Times New Roman" w:cs="Times New Roman"/>
                <w:sz w:val="26"/>
                <w:szCs w:val="26"/>
              </w:rPr>
              <w:t>.</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05539E" w:rsidRDefault="00883C34" w:rsidP="008E619F">
            <w:pPr>
              <w:pStyle w:val="Texto"/>
              <w:spacing w:after="120" w:line="240" w:lineRule="auto"/>
              <w:ind w:firstLine="0"/>
              <w:rPr>
                <w:rFonts w:ascii="Times New Roman" w:hAnsi="Times New Roman"/>
                <w:sz w:val="26"/>
                <w:szCs w:val="26"/>
              </w:rPr>
            </w:pPr>
            <w:r w:rsidRPr="0005539E">
              <w:rPr>
                <w:rFonts w:ascii="Times New Roman" w:hAnsi="Times New Roman"/>
                <w:sz w:val="26"/>
                <w:szCs w:val="26"/>
              </w:rPr>
              <w:t>Los créditos otorgados al amparo de una línea de crédito, revolvente o no, que se reestructuren o renueven en cualquier momento, podrán mantenerse en cartera vigente siempre y cuando se cuente con elementos que justifiquen la capacidad de pago del deudor. Adicionalmente, el acreditado deberá haber:</w:t>
            </w:r>
          </w:p>
          <w:p w:rsidR="00883C34" w:rsidRDefault="00883C34" w:rsidP="00D24A06">
            <w:pPr>
              <w:pStyle w:val="Texto"/>
              <w:numPr>
                <w:ilvl w:val="0"/>
                <w:numId w:val="135"/>
              </w:numPr>
              <w:spacing w:after="0" w:line="240" w:lineRule="auto"/>
              <w:ind w:left="282" w:hanging="282"/>
              <w:rPr>
                <w:rFonts w:ascii="Times New Roman" w:hAnsi="Times New Roman"/>
                <w:sz w:val="26"/>
                <w:szCs w:val="26"/>
              </w:rPr>
            </w:pPr>
            <w:r w:rsidRPr="0005539E">
              <w:rPr>
                <w:rFonts w:ascii="Times New Roman" w:hAnsi="Times New Roman"/>
                <w:sz w:val="26"/>
                <w:szCs w:val="26"/>
              </w:rPr>
              <w:lastRenderedPageBreak/>
              <w:t>liquidado la totalidad de los intereses exigibles, y</w:t>
            </w:r>
          </w:p>
          <w:p w:rsidR="00883C34" w:rsidRPr="008E619F" w:rsidRDefault="00883C34" w:rsidP="00D24A06">
            <w:pPr>
              <w:pStyle w:val="Texto"/>
              <w:numPr>
                <w:ilvl w:val="0"/>
                <w:numId w:val="135"/>
              </w:numPr>
              <w:spacing w:after="0" w:line="240" w:lineRule="auto"/>
              <w:ind w:left="282" w:hanging="282"/>
              <w:rPr>
                <w:rFonts w:ascii="Times New Roman" w:hAnsi="Times New Roman"/>
                <w:sz w:val="26"/>
                <w:szCs w:val="26"/>
              </w:rPr>
            </w:pPr>
            <w:r w:rsidRPr="008E619F">
              <w:rPr>
                <w:rFonts w:ascii="Times New Roman" w:hAnsi="Times New Roman"/>
                <w:sz w:val="26"/>
                <w:szCs w:val="26"/>
              </w:rPr>
              <w:t>cubierto la totalidad de los pagos a que esté obligado en términos del contrato a la fecha de la reestructuración o renovación.</w:t>
            </w:r>
          </w:p>
          <w:p w:rsidR="00883C34" w:rsidRPr="002D578A" w:rsidRDefault="00883C34" w:rsidP="008E619F">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120" w:line="240" w:lineRule="auto"/>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sz w:val="26"/>
                <w:szCs w:val="26"/>
              </w:rPr>
            </w:pPr>
            <w:r w:rsidRPr="00D24A06">
              <w:rPr>
                <w:rFonts w:ascii="Times New Roman" w:hAnsi="Times New Roman"/>
                <w:sz w:val="26"/>
                <w:szCs w:val="26"/>
              </w:rPr>
              <w:lastRenderedPageBreak/>
              <w:t>Tratándose de disposiciones de crédito hechas al amparo de una línea, cuando se reestructuren o renueven de forma independiente de la línea de crédito que las ampara, deberán evaluarse de conformidad con la presente sección atendiendo a las características y condiciones aplicables a la disposición o disposiciones reestructuradas o renovadas. Si de tal análisis se concluyera que una o más de las disposiciones otorgadas al amparo de una línea de crédito deben ser traspasadas a cartera vencida por efecto de su reestructura o renovación; el total del saldo dispuesto de la línea de crédito deberá traspasarse a cartera vencida en tanto no exista evidencia de pago sostenido.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Los créditos vigentes con características distintas a las señaladas en l</w:t>
            </w:r>
            <w:r>
              <w:rPr>
                <w:rFonts w:ascii="Times New Roman" w:hAnsi="Times New Roman" w:cs="Times New Roman"/>
                <w:sz w:val="26"/>
                <w:szCs w:val="26"/>
              </w:rPr>
              <w:t xml:space="preserve">os </w:t>
            </w:r>
            <w:r w:rsidRPr="002D578A">
              <w:rPr>
                <w:rFonts w:ascii="Times New Roman" w:hAnsi="Times New Roman" w:cs="Times New Roman"/>
                <w:sz w:val="26"/>
                <w:szCs w:val="26"/>
              </w:rPr>
              <w:t>párrafo</w:t>
            </w:r>
            <w:r>
              <w:rPr>
                <w:rFonts w:ascii="Times New Roman" w:hAnsi="Times New Roman" w:cs="Times New Roman"/>
                <w:sz w:val="26"/>
                <w:szCs w:val="26"/>
              </w:rPr>
              <w:t>s</w:t>
            </w:r>
            <w:r w:rsidRPr="002D578A">
              <w:rPr>
                <w:rFonts w:ascii="Times New Roman" w:hAnsi="Times New Roman" w:cs="Times New Roman"/>
                <w:sz w:val="26"/>
                <w:szCs w:val="26"/>
              </w:rPr>
              <w:t xml:space="preserve"> </w:t>
            </w:r>
            <w:r>
              <w:rPr>
                <w:rFonts w:ascii="Times New Roman" w:hAnsi="Times New Roman" w:cs="Times New Roman"/>
                <w:sz w:val="26"/>
                <w:szCs w:val="26"/>
              </w:rPr>
              <w:t xml:space="preserve">64 a 66 </w:t>
            </w:r>
            <w:r w:rsidRPr="002D578A">
              <w:rPr>
                <w:rFonts w:ascii="Times New Roman" w:hAnsi="Times New Roman" w:cs="Times New Roman"/>
                <w:sz w:val="26"/>
                <w:szCs w:val="26"/>
              </w:rPr>
              <w:t>anterior</w:t>
            </w:r>
            <w:r>
              <w:rPr>
                <w:rFonts w:ascii="Times New Roman" w:hAnsi="Times New Roman" w:cs="Times New Roman"/>
                <w:sz w:val="26"/>
                <w:szCs w:val="26"/>
              </w:rPr>
              <w:t>es</w:t>
            </w:r>
            <w:r w:rsidRPr="002D578A">
              <w:rPr>
                <w:rFonts w:ascii="Times New Roman" w:hAnsi="Times New Roman" w:cs="Times New Roman"/>
                <w:sz w:val="26"/>
                <w:szCs w:val="26"/>
              </w:rPr>
              <w:t xml:space="preserve"> que se reestructuren o se renueven, sin que haya transcurrido al menos el 80% del plazo original del crédito, se considerará que continúan siendo vigentes, únicamente cuando: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D24A06">
            <w:pPr>
              <w:pStyle w:val="Texto"/>
              <w:numPr>
                <w:ilvl w:val="0"/>
                <w:numId w:val="128"/>
              </w:num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 xml:space="preserve">el acreditado hubiere </w:t>
            </w:r>
            <w:r w:rsidRPr="002D578A">
              <w:rPr>
                <w:rFonts w:ascii="Times New Roman" w:hAnsi="Times New Roman" w:cs="Times New Roman"/>
                <w:sz w:val="26"/>
                <w:szCs w:val="26"/>
              </w:rPr>
              <w:t>cubierto la totalidad de los intereses devengados</w:t>
            </w:r>
            <w:r>
              <w:rPr>
                <w:rFonts w:ascii="Times New Roman" w:hAnsi="Times New Roman" w:cs="Times New Roman"/>
                <w:sz w:val="26"/>
                <w:szCs w:val="26"/>
              </w:rPr>
              <w:t xml:space="preserve"> a la fecha de la renovación o reestructuración;</w:t>
            </w:r>
          </w:p>
          <w:p w:rsidR="00883C34" w:rsidRDefault="00883C34" w:rsidP="00D24A06">
            <w:pPr>
              <w:pStyle w:val="Texto"/>
              <w:numPr>
                <w:ilvl w:val="0"/>
                <w:numId w:val="128"/>
              </w:num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 xml:space="preserve">el acreditado hubiere </w:t>
            </w:r>
            <w:r w:rsidRPr="002D578A">
              <w:rPr>
                <w:rFonts w:ascii="Times New Roman" w:hAnsi="Times New Roman" w:cs="Times New Roman"/>
                <w:sz w:val="26"/>
                <w:szCs w:val="26"/>
              </w:rPr>
              <w:t>cubierto el principal del monto original del crédito, que a la fecha de la renovación o reestructuración debió haber sido cubierto</w:t>
            </w:r>
            <w:r>
              <w:rPr>
                <w:rFonts w:ascii="Times New Roman" w:hAnsi="Times New Roman" w:cs="Times New Roman"/>
                <w:sz w:val="26"/>
                <w:szCs w:val="26"/>
              </w:rPr>
              <w:t>, y</w:t>
            </w:r>
          </w:p>
          <w:p w:rsidR="00883C34" w:rsidRPr="002D578A" w:rsidRDefault="00883C34" w:rsidP="00D24A06">
            <w:pPr>
              <w:pStyle w:val="Texto"/>
              <w:numPr>
                <w:ilvl w:val="0"/>
                <w:numId w:val="128"/>
              </w:numPr>
              <w:spacing w:after="0" w:line="240" w:lineRule="auto"/>
              <w:contextualSpacing/>
              <w:rPr>
                <w:rFonts w:ascii="Times New Roman" w:hAnsi="Times New Roman" w:cs="Times New Roman"/>
                <w:sz w:val="26"/>
                <w:szCs w:val="26"/>
              </w:rPr>
            </w:pPr>
            <w:r>
              <w:rPr>
                <w:rFonts w:ascii="Times New Roman" w:hAnsi="Times New Roman" w:cs="Times New Roman"/>
                <w:sz w:val="26"/>
                <w:szCs w:val="26"/>
              </w:rPr>
              <w:t>no se haya ampliado el periodo de gracia que, en su caso, se hubiere previsto en las condiciones originales del crédito</w:t>
            </w:r>
            <w:r w:rsidRPr="002D578A">
              <w:rPr>
                <w:rFonts w:ascii="Times New Roman" w:hAnsi="Times New Roman" w:cs="Times New Roman"/>
                <w:sz w:val="26"/>
                <w:szCs w:val="26"/>
              </w:rPr>
              <w:t xml:space="preserve">. </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En caso de no cumplirse todas las condiciones descritas en el párrafo anterior</w:t>
            </w:r>
            <w:r>
              <w:rPr>
                <w:rFonts w:ascii="Times New Roman" w:hAnsi="Times New Roman" w:cs="Times New Roman"/>
                <w:sz w:val="26"/>
                <w:szCs w:val="26"/>
              </w:rPr>
              <w:t>,</w:t>
            </w:r>
            <w:r w:rsidRPr="002D578A">
              <w:rPr>
                <w:rFonts w:ascii="Times New Roman" w:hAnsi="Times New Roman" w:cs="Times New Roman"/>
                <w:sz w:val="26"/>
                <w:szCs w:val="26"/>
              </w:rPr>
              <w:t xml:space="preserve"> serán considerados como vencidos desde el momento en que se reestructuren o renueven y hasta en tanto no exista evidencia de pago sostenido.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Cuando se trate de créditos vigentes con características distintas a las señaladas en l</w:t>
            </w:r>
            <w:r>
              <w:rPr>
                <w:rFonts w:ascii="Times New Roman" w:hAnsi="Times New Roman" w:cs="Times New Roman"/>
                <w:sz w:val="26"/>
                <w:szCs w:val="26"/>
              </w:rPr>
              <w:t>os</w:t>
            </w:r>
            <w:r w:rsidRPr="002D578A">
              <w:rPr>
                <w:rFonts w:ascii="Times New Roman" w:hAnsi="Times New Roman" w:cs="Times New Roman"/>
                <w:sz w:val="26"/>
                <w:szCs w:val="26"/>
              </w:rPr>
              <w:t xml:space="preserve"> párrafo</w:t>
            </w:r>
            <w:r>
              <w:rPr>
                <w:rFonts w:ascii="Times New Roman" w:hAnsi="Times New Roman" w:cs="Times New Roman"/>
                <w:sz w:val="26"/>
                <w:szCs w:val="26"/>
              </w:rPr>
              <w:t>s</w:t>
            </w:r>
            <w:r w:rsidRPr="002D578A">
              <w:rPr>
                <w:rFonts w:ascii="Times New Roman" w:hAnsi="Times New Roman" w:cs="Times New Roman"/>
                <w:sz w:val="26"/>
                <w:szCs w:val="26"/>
              </w:rPr>
              <w:t xml:space="preserve"> </w:t>
            </w:r>
            <w:r>
              <w:rPr>
                <w:rFonts w:ascii="Times New Roman" w:hAnsi="Times New Roman" w:cs="Times New Roman"/>
                <w:sz w:val="26"/>
                <w:szCs w:val="26"/>
              </w:rPr>
              <w:t>64 a 66</w:t>
            </w:r>
            <w:r w:rsidRPr="002D578A">
              <w:rPr>
                <w:rFonts w:ascii="Times New Roman" w:hAnsi="Times New Roman" w:cs="Times New Roman"/>
                <w:sz w:val="26"/>
                <w:szCs w:val="26"/>
              </w:rPr>
              <w:t xml:space="preserve"> anterior</w:t>
            </w:r>
            <w:r>
              <w:rPr>
                <w:rFonts w:ascii="Times New Roman" w:hAnsi="Times New Roman" w:cs="Times New Roman"/>
                <w:sz w:val="26"/>
                <w:szCs w:val="26"/>
              </w:rPr>
              <w:t>es</w:t>
            </w:r>
            <w:r w:rsidRPr="002D578A">
              <w:rPr>
                <w:rFonts w:ascii="Times New Roman" w:hAnsi="Times New Roman" w:cs="Times New Roman"/>
                <w:sz w:val="26"/>
                <w:szCs w:val="26"/>
              </w:rPr>
              <w:t xml:space="preserve"> que se reestructuren o renueven durante el transcurso del 20% final del plazo original del crédito, </w:t>
            </w:r>
            <w:r>
              <w:rPr>
                <w:rFonts w:ascii="Times New Roman" w:hAnsi="Times New Roman" w:cs="Times New Roman"/>
                <w:sz w:val="26"/>
                <w:szCs w:val="26"/>
              </w:rPr>
              <w:t>e</w:t>
            </w:r>
            <w:r w:rsidRPr="002D578A">
              <w:rPr>
                <w:rFonts w:ascii="Times New Roman" w:hAnsi="Times New Roman" w:cs="Times New Roman"/>
                <w:sz w:val="26"/>
                <w:szCs w:val="26"/>
              </w:rPr>
              <w:t>stos se considerarán vigentes únicamente cuando el acreditado hubiere: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D24A06">
            <w:pPr>
              <w:pStyle w:val="Texto"/>
              <w:numPr>
                <w:ilvl w:val="0"/>
                <w:numId w:val="129"/>
              </w:numPr>
              <w:spacing w:after="0" w:line="240" w:lineRule="auto"/>
              <w:contextualSpacing/>
              <w:rPr>
                <w:rFonts w:ascii="Times New Roman" w:hAnsi="Times New Roman" w:cs="Times New Roman"/>
                <w:sz w:val="26"/>
                <w:szCs w:val="26"/>
              </w:rPr>
            </w:pPr>
            <w:r w:rsidRPr="002D578A">
              <w:rPr>
                <w:rFonts w:ascii="Times New Roman" w:hAnsi="Times New Roman" w:cs="Times New Roman"/>
                <w:sz w:val="26"/>
                <w:szCs w:val="26"/>
              </w:rPr>
              <w:t>liquidado la totalidad de los intereses devengados</w:t>
            </w:r>
            <w:r>
              <w:rPr>
                <w:rFonts w:ascii="Times New Roman" w:hAnsi="Times New Roman" w:cs="Times New Roman"/>
                <w:sz w:val="26"/>
                <w:szCs w:val="26"/>
              </w:rPr>
              <w:t xml:space="preserve"> a la fecha de la renovación o reestructuración</w:t>
            </w:r>
            <w:r w:rsidRPr="002D578A">
              <w:rPr>
                <w:rFonts w:ascii="Times New Roman" w:hAnsi="Times New Roman" w:cs="Times New Roman"/>
                <w:sz w:val="26"/>
                <w:szCs w:val="26"/>
              </w:rPr>
              <w:t>;</w:t>
            </w:r>
          </w:p>
          <w:p w:rsidR="00883C34" w:rsidRPr="002D578A" w:rsidRDefault="00883C34" w:rsidP="00D24A06">
            <w:pPr>
              <w:pStyle w:val="Texto"/>
              <w:numPr>
                <w:ilvl w:val="0"/>
                <w:numId w:val="129"/>
              </w:numPr>
              <w:spacing w:after="0" w:line="240" w:lineRule="auto"/>
              <w:contextualSpacing/>
              <w:rPr>
                <w:rFonts w:ascii="Times New Roman" w:hAnsi="Times New Roman" w:cs="Times New Roman"/>
                <w:sz w:val="26"/>
                <w:szCs w:val="26"/>
              </w:rPr>
            </w:pPr>
            <w:r w:rsidRPr="002D578A">
              <w:rPr>
                <w:rFonts w:ascii="Times New Roman" w:hAnsi="Times New Roman" w:cs="Times New Roman"/>
                <w:sz w:val="26"/>
                <w:szCs w:val="26"/>
              </w:rPr>
              <w:t xml:space="preserve">cubierto </w:t>
            </w:r>
            <w:r>
              <w:rPr>
                <w:rFonts w:ascii="Times New Roman" w:hAnsi="Times New Roman" w:cs="Times New Roman"/>
                <w:sz w:val="26"/>
                <w:szCs w:val="26"/>
              </w:rPr>
              <w:t>el principal</w:t>
            </w:r>
            <w:r w:rsidRPr="002D578A">
              <w:rPr>
                <w:rFonts w:ascii="Times New Roman" w:hAnsi="Times New Roman" w:cs="Times New Roman"/>
                <w:sz w:val="26"/>
                <w:szCs w:val="26"/>
              </w:rPr>
              <w:t xml:space="preserve"> del monto original del crédito</w:t>
            </w:r>
            <w:r>
              <w:rPr>
                <w:rFonts w:ascii="Times New Roman" w:hAnsi="Times New Roman" w:cs="Times New Roman"/>
                <w:sz w:val="26"/>
                <w:szCs w:val="26"/>
              </w:rPr>
              <w:t>,</w:t>
            </w:r>
            <w:r w:rsidRPr="002D578A">
              <w:rPr>
                <w:rFonts w:ascii="Times New Roman" w:hAnsi="Times New Roman" w:cs="Times New Roman"/>
                <w:sz w:val="26"/>
                <w:szCs w:val="26"/>
              </w:rPr>
              <w:t xml:space="preserve"> que a la fecha de la renovación o reestructuración debió haber sido cubierto, y</w:t>
            </w:r>
          </w:p>
          <w:p w:rsidR="00883C34" w:rsidRPr="002D578A" w:rsidRDefault="00883C34" w:rsidP="00D24A06">
            <w:pPr>
              <w:pStyle w:val="Texto"/>
              <w:numPr>
                <w:ilvl w:val="0"/>
                <w:numId w:val="129"/>
              </w:numPr>
              <w:spacing w:after="0" w:line="240" w:lineRule="auto"/>
              <w:contextualSpacing/>
              <w:rPr>
                <w:rFonts w:ascii="Times New Roman" w:hAnsi="Times New Roman" w:cs="Times New Roman"/>
                <w:sz w:val="26"/>
                <w:szCs w:val="26"/>
              </w:rPr>
            </w:pPr>
            <w:r w:rsidRPr="002D578A">
              <w:rPr>
                <w:rFonts w:ascii="Times New Roman" w:hAnsi="Times New Roman" w:cs="Times New Roman"/>
                <w:sz w:val="26"/>
                <w:szCs w:val="26"/>
              </w:rPr>
              <w:t>cubierto el 60% del monto original del crédito.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6A73D6">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En caso de no cumplirse todas las condiciones descritas en el párrafo anterior</w:t>
            </w:r>
            <w:r>
              <w:rPr>
                <w:rFonts w:ascii="Times New Roman" w:hAnsi="Times New Roman" w:cs="Times New Roman"/>
                <w:sz w:val="26"/>
                <w:szCs w:val="26"/>
              </w:rPr>
              <w:t>,</w:t>
            </w:r>
            <w:r w:rsidRPr="002D578A">
              <w:rPr>
                <w:rFonts w:ascii="Times New Roman" w:hAnsi="Times New Roman" w:cs="Times New Roman"/>
                <w:sz w:val="26"/>
                <w:szCs w:val="26"/>
              </w:rPr>
              <w:t xml:space="preserve"> </w:t>
            </w:r>
            <w:r w:rsidRPr="002D578A">
              <w:rPr>
                <w:rFonts w:ascii="Times New Roman" w:hAnsi="Times New Roman" w:cs="Times New Roman"/>
                <w:sz w:val="26"/>
                <w:szCs w:val="26"/>
              </w:rPr>
              <w:lastRenderedPageBreak/>
              <w:t>serán considerados como vencidos desde el momento en que se reestructuren o renueven y hasta en tanto no exista evidencia de pago sostenido.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pPr>
              <w:pStyle w:val="Texto"/>
              <w:spacing w:after="0" w:line="240" w:lineRule="auto"/>
              <w:ind w:firstLine="0"/>
              <w:contextualSpacing/>
              <w:rPr>
                <w:rFonts w:ascii="Times New Roman" w:hAnsi="Times New Roman"/>
                <w:sz w:val="26"/>
              </w:rPr>
            </w:pPr>
            <w:r w:rsidRPr="00394B83">
              <w:rPr>
                <w:rFonts w:ascii="Times New Roman" w:hAnsi="Times New Roman"/>
                <w:sz w:val="26"/>
              </w:rPr>
              <w:lastRenderedPageBreak/>
              <w:t xml:space="preserve">Los créditos </w:t>
            </w:r>
            <w:r w:rsidRPr="0005539E">
              <w:rPr>
                <w:rFonts w:ascii="Times New Roman" w:hAnsi="Times New Roman"/>
                <w:sz w:val="26"/>
                <w:szCs w:val="26"/>
              </w:rPr>
              <w:t>vigentes con pagos periódicos parciales</w:t>
            </w:r>
            <w:r w:rsidRPr="00394B83">
              <w:rPr>
                <w:rFonts w:ascii="Times New Roman" w:hAnsi="Times New Roman"/>
                <w:sz w:val="26"/>
              </w:rPr>
              <w:t xml:space="preserve"> de </w:t>
            </w:r>
            <w:r w:rsidRPr="0005539E">
              <w:rPr>
                <w:rFonts w:ascii="Times New Roman" w:hAnsi="Times New Roman"/>
                <w:sz w:val="26"/>
                <w:szCs w:val="26"/>
              </w:rPr>
              <w:t xml:space="preserve">principal e intereses </w:t>
            </w:r>
            <w:r w:rsidRPr="00394B83">
              <w:rPr>
                <w:rFonts w:ascii="Times New Roman" w:hAnsi="Times New Roman"/>
                <w:sz w:val="26"/>
              </w:rPr>
              <w:t xml:space="preserve">que se reestructuren o renueven en </w:t>
            </w:r>
            <w:r w:rsidRPr="0005539E">
              <w:rPr>
                <w:rFonts w:ascii="Times New Roman" w:hAnsi="Times New Roman"/>
                <w:sz w:val="26"/>
                <w:szCs w:val="26"/>
              </w:rPr>
              <w:t>más</w:t>
            </w:r>
            <w:r w:rsidRPr="00394B83">
              <w:rPr>
                <w:rFonts w:ascii="Times New Roman" w:hAnsi="Times New Roman"/>
                <w:sz w:val="26"/>
              </w:rPr>
              <w:t xml:space="preserve"> de </w:t>
            </w:r>
            <w:r w:rsidRPr="0005539E">
              <w:rPr>
                <w:rFonts w:ascii="Times New Roman" w:hAnsi="Times New Roman"/>
                <w:sz w:val="26"/>
                <w:szCs w:val="26"/>
              </w:rPr>
              <w:t>una ocasión, podrán permanecer en cartera vigente si además</w:t>
            </w:r>
            <w:r w:rsidRPr="00394B83">
              <w:rPr>
                <w:rFonts w:ascii="Times New Roman" w:hAnsi="Times New Roman"/>
                <w:sz w:val="26"/>
              </w:rPr>
              <w:t xml:space="preserve"> de </w:t>
            </w:r>
            <w:r w:rsidRPr="0005539E">
              <w:rPr>
                <w:rFonts w:ascii="Times New Roman" w:hAnsi="Times New Roman"/>
                <w:sz w:val="26"/>
                <w:szCs w:val="26"/>
              </w:rPr>
              <w:t>contar</w:t>
            </w:r>
            <w:r w:rsidRPr="00394B83">
              <w:rPr>
                <w:rFonts w:ascii="Times New Roman" w:hAnsi="Times New Roman"/>
                <w:sz w:val="26"/>
              </w:rPr>
              <w:t xml:space="preserve"> con elementos que justifiquen la capacidad de pago del deudor, </w:t>
            </w:r>
            <w:r w:rsidRPr="0005539E">
              <w:rPr>
                <w:rFonts w:ascii="Times New Roman" w:hAnsi="Times New Roman"/>
                <w:sz w:val="26"/>
                <w:szCs w:val="26"/>
              </w:rPr>
              <w:t>el acreditado cumple con las condicione</w:t>
            </w:r>
            <w:r>
              <w:rPr>
                <w:rFonts w:ascii="Times New Roman" w:hAnsi="Times New Roman"/>
                <w:sz w:val="26"/>
                <w:szCs w:val="26"/>
              </w:rPr>
              <w:t>s establecidas en los párrafos 67</w:t>
            </w:r>
            <w:r w:rsidRPr="0005539E">
              <w:rPr>
                <w:rFonts w:ascii="Times New Roman" w:hAnsi="Times New Roman"/>
                <w:sz w:val="26"/>
                <w:szCs w:val="26"/>
              </w:rPr>
              <w:t xml:space="preserve"> </w:t>
            </w:r>
            <w:proofErr w:type="spellStart"/>
            <w:r w:rsidR="004539C7">
              <w:rPr>
                <w:rFonts w:ascii="Times New Roman" w:hAnsi="Times New Roman"/>
                <w:sz w:val="26"/>
                <w:szCs w:val="26"/>
              </w:rPr>
              <w:t>ó</w:t>
            </w:r>
            <w:proofErr w:type="spellEnd"/>
            <w:r w:rsidRPr="0005539E">
              <w:rPr>
                <w:rFonts w:ascii="Times New Roman" w:hAnsi="Times New Roman"/>
                <w:sz w:val="26"/>
                <w:szCs w:val="26"/>
              </w:rPr>
              <w:t xml:space="preserve"> </w:t>
            </w:r>
            <w:r>
              <w:rPr>
                <w:rFonts w:ascii="Times New Roman" w:hAnsi="Times New Roman"/>
                <w:sz w:val="26"/>
                <w:szCs w:val="26"/>
              </w:rPr>
              <w:t>69</w:t>
            </w:r>
            <w:r w:rsidRPr="0005539E">
              <w:rPr>
                <w:rFonts w:ascii="Times New Roman" w:hAnsi="Times New Roman"/>
                <w:sz w:val="26"/>
                <w:szCs w:val="26"/>
              </w:rPr>
              <w:t xml:space="preserve"> anteriores, según corresponda</w:t>
            </w:r>
            <w:r w:rsidRPr="00394B83">
              <w:rPr>
                <w:rFonts w:ascii="Times New Roman" w:hAnsi="Times New Roman"/>
                <w:sz w:val="26"/>
              </w:rPr>
              <w:t>.</w:t>
            </w:r>
          </w:p>
          <w:p w:rsidR="00883C34" w:rsidRPr="002D578A" w:rsidRDefault="00883C34">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Default="00883C34" w:rsidP="00D24A06">
            <w:pPr>
              <w:pStyle w:val="Texto"/>
              <w:spacing w:after="0" w:line="240" w:lineRule="auto"/>
              <w:ind w:firstLine="0"/>
              <w:rPr>
                <w:rFonts w:ascii="Times New Roman" w:hAnsi="Times New Roman"/>
                <w:sz w:val="26"/>
                <w:szCs w:val="26"/>
              </w:rPr>
            </w:pPr>
            <w:r w:rsidRPr="0005539E">
              <w:rPr>
                <w:rFonts w:ascii="Times New Roman" w:hAnsi="Times New Roman"/>
                <w:sz w:val="26"/>
                <w:szCs w:val="26"/>
              </w:rPr>
              <w:t>En el caso de que mediante una reestructura o renovación se consoliden diversos créditos otorgados por la misma entidad a un mismo acreditado, se deberá analizar cada uno de los créditos consolidados como si se reestructuraran o renovaran por separado y, si de tal análisis se concluye que uno o más de dichos créditos se habría traspasado a cartera vencida por efecto de dicha reestructura o renovación, entonces el saldo total del crédito consolidado deberá traspasarse a cartera vencida.</w:t>
            </w:r>
          </w:p>
          <w:p w:rsidR="00883C34" w:rsidRPr="002D578A" w:rsidDel="00476E66" w:rsidRDefault="00883C34" w:rsidP="00D24A06">
            <w:pPr>
              <w:pStyle w:val="Texto"/>
              <w:spacing w:after="0" w:line="240" w:lineRule="auto"/>
              <w:ind w:firstLine="0"/>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6A73D6">
            <w:pPr>
              <w:pStyle w:val="Texto"/>
              <w:spacing w:after="120" w:line="240" w:lineRule="auto"/>
              <w:ind w:firstLine="0"/>
              <w:rPr>
                <w:rFonts w:ascii="Times New Roman" w:hAnsi="Times New Roman" w:cs="Times New Roman"/>
                <w:sz w:val="26"/>
                <w:szCs w:val="26"/>
              </w:rPr>
            </w:pPr>
            <w:r>
              <w:rPr>
                <w:rFonts w:ascii="Times New Roman" w:hAnsi="Times New Roman" w:cs="Times New Roman"/>
                <w:sz w:val="26"/>
                <w:szCs w:val="26"/>
              </w:rPr>
              <w:t>No será</w:t>
            </w:r>
            <w:r w:rsidRPr="00D24A06">
              <w:rPr>
                <w:rFonts w:ascii="Times New Roman" w:hAnsi="Times New Roman" w:cs="Times New Roman"/>
                <w:sz w:val="26"/>
                <w:szCs w:val="26"/>
              </w:rPr>
              <w:t xml:space="preserve"> </w:t>
            </w:r>
            <w:r>
              <w:rPr>
                <w:rFonts w:ascii="Times New Roman" w:hAnsi="Times New Roman" w:cs="Times New Roman"/>
                <w:sz w:val="26"/>
                <w:szCs w:val="26"/>
              </w:rPr>
              <w:t xml:space="preserve">aplicable </w:t>
            </w:r>
            <w:r w:rsidRPr="00D24A06">
              <w:rPr>
                <w:rFonts w:ascii="Times New Roman" w:hAnsi="Times New Roman" w:cs="Times New Roman"/>
                <w:sz w:val="26"/>
                <w:szCs w:val="26"/>
              </w:rPr>
              <w:t>lo dispuesto en l</w:t>
            </w:r>
            <w:r>
              <w:rPr>
                <w:rFonts w:ascii="Times New Roman" w:hAnsi="Times New Roman" w:cs="Times New Roman"/>
                <w:sz w:val="26"/>
                <w:szCs w:val="26"/>
              </w:rPr>
              <w:t>os</w:t>
            </w:r>
            <w:r w:rsidRPr="00D24A06">
              <w:rPr>
                <w:rFonts w:ascii="Times New Roman" w:hAnsi="Times New Roman" w:cs="Times New Roman"/>
                <w:sz w:val="26"/>
                <w:szCs w:val="26"/>
              </w:rPr>
              <w:t xml:space="preserve"> párrafo</w:t>
            </w:r>
            <w:r>
              <w:rPr>
                <w:rFonts w:ascii="Times New Roman" w:hAnsi="Times New Roman" w:cs="Times New Roman"/>
                <w:sz w:val="26"/>
                <w:szCs w:val="26"/>
              </w:rPr>
              <w:t xml:space="preserve">s 64 a 72 a aquellas </w:t>
            </w:r>
            <w:r w:rsidRPr="00D24A06">
              <w:rPr>
                <w:rFonts w:ascii="Times New Roman" w:hAnsi="Times New Roman" w:cs="Times New Roman"/>
                <w:sz w:val="26"/>
                <w:szCs w:val="26"/>
              </w:rPr>
              <w:t xml:space="preserve">reestructuras que a la fecha de la </w:t>
            </w:r>
            <w:r>
              <w:rPr>
                <w:rFonts w:ascii="Times New Roman" w:hAnsi="Times New Roman" w:cs="Times New Roman"/>
                <w:sz w:val="26"/>
                <w:szCs w:val="26"/>
              </w:rPr>
              <w:t>operación</w:t>
            </w:r>
            <w:r w:rsidRPr="00D24A06">
              <w:rPr>
                <w:rFonts w:ascii="Times New Roman" w:hAnsi="Times New Roman" w:cs="Times New Roman"/>
                <w:sz w:val="26"/>
                <w:szCs w:val="26"/>
              </w:rPr>
              <w:t xml:space="preserve"> presenten cumplimiento de pago por el monto total exigible de principal e intereses y únicamente modifiquen una o varias de las siguientes condiciones originales del crédito:</w:t>
            </w:r>
          </w:p>
          <w:p w:rsidR="00883C34" w:rsidRPr="00D24A06" w:rsidRDefault="00883C34" w:rsidP="006A73D6">
            <w:pPr>
              <w:pStyle w:val="Texto"/>
              <w:numPr>
                <w:ilvl w:val="0"/>
                <w:numId w:val="130"/>
              </w:numPr>
              <w:spacing w:after="120" w:line="240" w:lineRule="auto"/>
              <w:ind w:left="282" w:hanging="282"/>
              <w:rPr>
                <w:rFonts w:ascii="Times New Roman" w:hAnsi="Times New Roman" w:cs="Times New Roman"/>
                <w:sz w:val="26"/>
                <w:szCs w:val="26"/>
              </w:rPr>
            </w:pPr>
            <w:r w:rsidRPr="00D24A06">
              <w:rPr>
                <w:rFonts w:ascii="Times New Roman" w:hAnsi="Times New Roman" w:cs="Times New Roman"/>
                <w:sz w:val="26"/>
                <w:szCs w:val="26"/>
              </w:rPr>
              <w:t>Garantías: únicamente cuando impliquen la ampliación o sustitución de garantías por otras de mejor calidad.</w:t>
            </w:r>
          </w:p>
          <w:p w:rsidR="00883C34" w:rsidRPr="00D24A06" w:rsidRDefault="00883C34" w:rsidP="006A73D6">
            <w:pPr>
              <w:pStyle w:val="Texto"/>
              <w:numPr>
                <w:ilvl w:val="0"/>
                <w:numId w:val="130"/>
              </w:numPr>
              <w:spacing w:after="120" w:line="240" w:lineRule="auto"/>
              <w:ind w:left="282" w:hanging="282"/>
              <w:rPr>
                <w:rFonts w:ascii="Times New Roman" w:hAnsi="Times New Roman" w:cs="Times New Roman"/>
                <w:sz w:val="26"/>
                <w:szCs w:val="26"/>
              </w:rPr>
            </w:pPr>
            <w:r w:rsidRPr="00D24A06">
              <w:rPr>
                <w:rFonts w:ascii="Times New Roman" w:hAnsi="Times New Roman" w:cs="Times New Roman"/>
                <w:sz w:val="26"/>
                <w:szCs w:val="26"/>
              </w:rPr>
              <w:t xml:space="preserve">Tasa de interés: cuando se mejore </w:t>
            </w:r>
            <w:r>
              <w:rPr>
                <w:rFonts w:ascii="Times New Roman" w:hAnsi="Times New Roman" w:cs="Times New Roman"/>
                <w:sz w:val="26"/>
                <w:szCs w:val="26"/>
              </w:rPr>
              <w:t xml:space="preserve">al acreditado </w:t>
            </w:r>
            <w:r w:rsidRPr="00D24A06">
              <w:rPr>
                <w:rFonts w:ascii="Times New Roman" w:hAnsi="Times New Roman" w:cs="Times New Roman"/>
                <w:sz w:val="26"/>
                <w:szCs w:val="26"/>
              </w:rPr>
              <w:t>la tasa de interés pactada.</w:t>
            </w:r>
          </w:p>
          <w:p w:rsidR="00883C34" w:rsidRPr="00D24A06" w:rsidRDefault="00883C34" w:rsidP="006A73D6">
            <w:pPr>
              <w:pStyle w:val="Texto"/>
              <w:numPr>
                <w:ilvl w:val="0"/>
                <w:numId w:val="130"/>
              </w:numPr>
              <w:spacing w:after="120" w:line="240" w:lineRule="auto"/>
              <w:ind w:left="282" w:hanging="282"/>
              <w:rPr>
                <w:rFonts w:ascii="Times New Roman" w:hAnsi="Times New Roman" w:cs="Times New Roman"/>
                <w:sz w:val="26"/>
                <w:szCs w:val="26"/>
              </w:rPr>
            </w:pPr>
            <w:r w:rsidRPr="00D24A06">
              <w:rPr>
                <w:rFonts w:ascii="Times New Roman" w:hAnsi="Times New Roman" w:cs="Times New Roman"/>
                <w:sz w:val="26"/>
                <w:szCs w:val="26"/>
              </w:rPr>
              <w:t>Moneda: siempre y cuando se aplique la tasa correspondiente a la nueva moneda.</w:t>
            </w:r>
          </w:p>
          <w:p w:rsidR="00883C34" w:rsidRPr="00D24A06" w:rsidRDefault="00883C34" w:rsidP="006A73D6">
            <w:pPr>
              <w:pStyle w:val="Texto"/>
              <w:numPr>
                <w:ilvl w:val="0"/>
                <w:numId w:val="130"/>
              </w:numPr>
              <w:spacing w:after="120" w:line="240" w:lineRule="auto"/>
              <w:ind w:left="282" w:hanging="282"/>
              <w:rPr>
                <w:rFonts w:ascii="Times New Roman" w:hAnsi="Times New Roman" w:cs="Times New Roman"/>
                <w:sz w:val="26"/>
                <w:szCs w:val="26"/>
              </w:rPr>
            </w:pPr>
            <w:r w:rsidRPr="00D24A06">
              <w:rPr>
                <w:rFonts w:ascii="Times New Roman" w:hAnsi="Times New Roman" w:cs="Times New Roman"/>
                <w:sz w:val="26"/>
                <w:szCs w:val="26"/>
              </w:rPr>
              <w:t xml:space="preserve">Fecha de pago: solo en el caso de que el cambio no implique exceder o modificar la periodicidad de los pagos. En ningún caso el cambio en la fecha de pago deberá permitir la omisión de pago en periodo alguno. </w:t>
            </w:r>
          </w:p>
          <w:p w:rsidR="00883C34" w:rsidRPr="002D578A" w:rsidRDefault="00883C34" w:rsidP="006A73D6">
            <w:pPr>
              <w:pStyle w:val="Texto"/>
              <w:spacing w:after="0" w:line="240" w:lineRule="auto"/>
              <w:ind w:firstLine="0"/>
              <w:contextualSpacing/>
              <w:rPr>
                <w:rFonts w:ascii="Times New Roman" w:hAnsi="Times New Roman" w:cs="Times New Roman"/>
                <w:sz w:val="26"/>
                <w:szCs w:val="26"/>
              </w:rPr>
            </w:pPr>
          </w:p>
          <w:p w:rsidR="00883C34" w:rsidRPr="002D578A" w:rsidRDefault="00883C34" w:rsidP="006A73D6">
            <w:pPr>
              <w:pStyle w:val="Texto"/>
              <w:spacing w:after="0" w:line="240" w:lineRule="auto"/>
              <w:ind w:firstLine="0"/>
              <w:contextualSpacing/>
              <w:rPr>
                <w:rFonts w:ascii="Times New Roman" w:hAnsi="Times New Roman" w:cs="Times New Roman"/>
                <w:b/>
                <w:sz w:val="26"/>
                <w:szCs w:val="26"/>
              </w:rPr>
            </w:pPr>
            <w:r w:rsidRPr="002D578A">
              <w:rPr>
                <w:rFonts w:ascii="Times New Roman" w:hAnsi="Times New Roman" w:cs="Times New Roman"/>
                <w:b/>
                <w:sz w:val="26"/>
                <w:szCs w:val="26"/>
              </w:rPr>
              <w:t>Suspensión de la acumulación de intereses</w:t>
            </w:r>
          </w:p>
          <w:p w:rsidR="00883C34" w:rsidRPr="002D578A" w:rsidRDefault="00883C34" w:rsidP="00B611D7">
            <w:pPr>
              <w:pStyle w:val="Texto"/>
              <w:spacing w:after="0" w:line="240" w:lineRule="auto"/>
              <w:ind w:firstLine="0"/>
              <w:contextualSpacing/>
              <w:rPr>
                <w:rFonts w:ascii="Times New Roman" w:hAnsi="Times New Roman" w:cs="Times New Roman"/>
                <w:caps/>
                <w:sz w:val="26"/>
                <w:szCs w:val="26"/>
              </w:rPr>
            </w:pPr>
          </w:p>
        </w:tc>
        <w:tc>
          <w:tcPr>
            <w:tcW w:w="851" w:type="dxa"/>
          </w:tcPr>
          <w:p w:rsidR="00883C34" w:rsidRPr="00883C34" w:rsidRDefault="00883C34" w:rsidP="00883C34">
            <w:pPr>
              <w:pStyle w:val="Texto"/>
              <w:numPr>
                <w:ilvl w:val="0"/>
                <w:numId w:val="137"/>
              </w:numPr>
              <w:spacing w:after="120" w:line="240" w:lineRule="auto"/>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caps/>
                <w:sz w:val="26"/>
                <w:szCs w:val="26"/>
              </w:rPr>
              <w:t>s</w:t>
            </w:r>
            <w:r w:rsidRPr="002D578A">
              <w:rPr>
                <w:rFonts w:ascii="Times New Roman" w:hAnsi="Times New Roman" w:cs="Times New Roman"/>
                <w:sz w:val="26"/>
                <w:szCs w:val="26"/>
              </w:rPr>
              <w:t xml:space="preserve">e deberá suspender la acumulación de los intereses devengados de las operaciones crediticias, en el momento en que el saldo insoluto del crédito sea considerado como vencido. Asimismo, se deberá suspender la amortización en resultados del ejercicio de los ingresos financieros </w:t>
            </w:r>
            <w:r>
              <w:rPr>
                <w:rFonts w:ascii="Times New Roman" w:hAnsi="Times New Roman" w:cs="Times New Roman"/>
                <w:sz w:val="26"/>
                <w:szCs w:val="26"/>
              </w:rPr>
              <w:t xml:space="preserve">por </w:t>
            </w:r>
            <w:r w:rsidRPr="002D578A">
              <w:rPr>
                <w:rFonts w:ascii="Times New Roman" w:hAnsi="Times New Roman" w:cs="Times New Roman"/>
                <w:sz w:val="26"/>
                <w:szCs w:val="26"/>
              </w:rPr>
              <w:t>devenga</w:t>
            </w:r>
            <w:r>
              <w:rPr>
                <w:rFonts w:ascii="Times New Roman" w:hAnsi="Times New Roman" w:cs="Times New Roman"/>
                <w:sz w:val="26"/>
                <w:szCs w:val="26"/>
              </w:rPr>
              <w:t>r</w:t>
            </w:r>
            <w:r w:rsidRPr="002D578A">
              <w:rPr>
                <w:rFonts w:ascii="Times New Roman" w:hAnsi="Times New Roman" w:cs="Times New Roman"/>
                <w:sz w:val="26"/>
                <w:szCs w:val="26"/>
              </w:rPr>
              <w:t>, así como del importe correspondiente a la opción de compra de los créditos por operaciones de arrendamiento capitalizable, en el momento en que el saldo insoluto del crédito sea considerado como vencido.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caps/>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476E66">
              <w:rPr>
                <w:rFonts w:ascii="Times New Roman" w:hAnsi="Times New Roman" w:cs="Times New Roman"/>
                <w:sz w:val="26"/>
                <w:szCs w:val="26"/>
              </w:rPr>
              <w:t>A</w:t>
            </w:r>
            <w:r w:rsidRPr="002D578A">
              <w:rPr>
                <w:rFonts w:ascii="Times New Roman" w:hAnsi="Times New Roman" w:cs="Times New Roman"/>
                <w:sz w:val="26"/>
                <w:szCs w:val="26"/>
              </w:rPr>
              <w:t xml:space="preserve"> los créditos que contractualmente capitalizan intereses al monto del adeudo, les será aplicable la suspensión de acumulación de intereses establecida en el párrafo </w:t>
            </w:r>
            <w:r w:rsidRPr="002D578A">
              <w:rPr>
                <w:rFonts w:ascii="Times New Roman" w:hAnsi="Times New Roman" w:cs="Times New Roman"/>
                <w:sz w:val="26"/>
                <w:szCs w:val="26"/>
              </w:rPr>
              <w:lastRenderedPageBreak/>
              <w:t>anterior.</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lastRenderedPageBreak/>
              <w:t xml:space="preserve">En tanto el crédito se mantenga en cartera vencida, el control de los intereses o ingresos financieros devengados se llevará en cuentas de orden. En caso de que dichos intereses o ingresos financieros vencidos sean cobrados, se reconocerán directamente en los resultados del ejercicio en el rubro de ingresos por intereses, cancelando en el caso de arrendamiento capitalizable </w:t>
            </w:r>
            <w:r>
              <w:rPr>
                <w:rFonts w:ascii="Times New Roman" w:hAnsi="Times New Roman" w:cs="Times New Roman"/>
                <w:sz w:val="26"/>
                <w:szCs w:val="26"/>
              </w:rPr>
              <w:t xml:space="preserve">o en operaciones de factoraje financiero </w:t>
            </w:r>
            <w:r w:rsidRPr="002D578A">
              <w:rPr>
                <w:rFonts w:ascii="Times New Roman" w:hAnsi="Times New Roman" w:cs="Times New Roman"/>
                <w:sz w:val="26"/>
                <w:szCs w:val="26"/>
              </w:rPr>
              <w:t>el crédito diferido correspondiente.</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r w:rsidRPr="002D578A">
              <w:rPr>
                <w:rFonts w:ascii="Times New Roman" w:hAnsi="Times New Roman" w:cs="Times New Roman"/>
                <w:i/>
                <w:sz w:val="26"/>
                <w:szCs w:val="26"/>
              </w:rPr>
              <w:t xml:space="preserve">Intereses devengados no cobrados </w:t>
            </w:r>
          </w:p>
          <w:p w:rsidR="00883C34" w:rsidRPr="002D578A" w:rsidRDefault="00883C34" w:rsidP="00B611D7">
            <w:pPr>
              <w:pStyle w:val="Texto"/>
              <w:spacing w:after="0" w:line="240" w:lineRule="auto"/>
              <w:ind w:firstLine="0"/>
              <w:contextualSpacing/>
              <w:rPr>
                <w:rFonts w:ascii="Times New Roman" w:hAnsi="Times New Roman" w:cs="Times New Roman"/>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 xml:space="preserve">Por lo que respecta a los intereses o ingresos financieros devengados no cobrados correspondientes a créditos que se consideren como cartera vencida, se deberá crear una estimación por un monto equivalente al total de </w:t>
            </w:r>
            <w:r>
              <w:rPr>
                <w:rFonts w:ascii="Times New Roman" w:hAnsi="Times New Roman" w:cs="Times New Roman"/>
                <w:sz w:val="26"/>
                <w:szCs w:val="26"/>
              </w:rPr>
              <w:t>e</w:t>
            </w:r>
            <w:r w:rsidRPr="002D578A">
              <w:rPr>
                <w:rFonts w:ascii="Times New Roman" w:hAnsi="Times New Roman" w:cs="Times New Roman"/>
                <w:sz w:val="26"/>
                <w:szCs w:val="26"/>
              </w:rPr>
              <w:t>stos al momento del traspaso del crédito como cartera vencida.</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Tratándose de créditos vencidos en los que en su reestructuración se acuerde la capitalización de los intereses devengados no cobrados registrados previamente en cuentas de orden, la entidad deberá crear una estimación por el 100% de dichos intereses. La estimación se podrá cancelar cuando se cuente con evidencia de pago sostenido.</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p w:rsidR="00883C34" w:rsidRPr="002D578A" w:rsidRDefault="00883C34" w:rsidP="00B611D7">
            <w:pPr>
              <w:pStyle w:val="Texto"/>
              <w:spacing w:after="0" w:line="240" w:lineRule="auto"/>
              <w:ind w:firstLine="0"/>
              <w:contextualSpacing/>
              <w:rPr>
                <w:rFonts w:ascii="Times New Roman" w:hAnsi="Times New Roman" w:cs="Times New Roman"/>
                <w:b/>
                <w:sz w:val="26"/>
                <w:szCs w:val="26"/>
              </w:rPr>
            </w:pPr>
            <w:r w:rsidRPr="00D24A06">
              <w:rPr>
                <w:rFonts w:ascii="Times New Roman" w:hAnsi="Times New Roman" w:cs="Times New Roman"/>
                <w:b/>
                <w:sz w:val="26"/>
                <w:szCs w:val="26"/>
              </w:rPr>
              <w:t>Estimación preventiva para riesgos crediticios</w:t>
            </w:r>
          </w:p>
          <w:p w:rsidR="00883C34" w:rsidRPr="00D24A06" w:rsidRDefault="00883C34" w:rsidP="00B611D7">
            <w:pPr>
              <w:pStyle w:val="Texto"/>
              <w:spacing w:after="0" w:line="240" w:lineRule="auto"/>
              <w:ind w:firstLine="0"/>
              <w:contextualSpacing/>
              <w:rPr>
                <w:rFonts w:ascii="Times New Roman" w:hAnsi="Times New Roman" w:cs="Times New Roman"/>
                <w:b/>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rPr>
          <w:gridBefore w:val="1"/>
          <w:wBefore w:w="142" w:type="dxa"/>
        </w:trPr>
        <w:tc>
          <w:tcPr>
            <w:tcW w:w="8647" w:type="dxa"/>
          </w:tcPr>
          <w:p w:rsidR="00883C34" w:rsidRPr="00956DD3" w:rsidRDefault="00883C34" w:rsidP="00D24A06">
            <w:pPr>
              <w:pStyle w:val="Texto"/>
              <w:spacing w:after="0" w:line="240" w:lineRule="auto"/>
              <w:ind w:left="-70" w:firstLine="0"/>
              <w:contextualSpacing/>
              <w:rPr>
                <w:rFonts w:ascii="Times New Roman" w:hAnsi="Times New Roman" w:cs="Times New Roman"/>
                <w:sz w:val="26"/>
                <w:szCs w:val="26"/>
              </w:rPr>
            </w:pPr>
            <w:r w:rsidRPr="00956DD3">
              <w:rPr>
                <w:rFonts w:ascii="Times New Roman" w:hAnsi="Times New Roman" w:cs="Times New Roman"/>
                <w:sz w:val="26"/>
                <w:szCs w:val="26"/>
              </w:rPr>
              <w:t>El monto de la estimación preventiva para riesgos crediticios deberá determinarse con base en las diferentes metodologías establecidas por la CNBV para cada tipo de crédito mediante disposiciones de carácter general o, en el caso de las estimaciones adicionales requeridas en diversas reglamentaciones y las ordenadas por la CNBV atendiendo a lo que al respecto dispongan las citadas disposiciones. En todo caso, la estimación preventiva para riesgos crediticios deberá reconocerse en los resultados del ejercicio del periodo que corresponda.</w:t>
            </w:r>
          </w:p>
          <w:p w:rsidR="00883C34" w:rsidRPr="00956DD3" w:rsidRDefault="00883C34" w:rsidP="00520F88">
            <w:pPr>
              <w:pStyle w:val="Texto"/>
              <w:spacing w:after="0" w:line="240" w:lineRule="auto"/>
              <w:ind w:firstLine="0"/>
              <w:contextualSpacing/>
              <w:rPr>
                <w:rFonts w:ascii="Times New Roman" w:hAnsi="Times New Roman" w:cs="Times New Roman"/>
                <w:b/>
                <w:sz w:val="26"/>
                <w:szCs w:val="26"/>
              </w:rPr>
            </w:pPr>
          </w:p>
          <w:p w:rsidR="00883C34" w:rsidRPr="00956DD3" w:rsidRDefault="00883C34" w:rsidP="00520F88">
            <w:pPr>
              <w:pStyle w:val="Texto"/>
              <w:spacing w:after="0" w:line="240" w:lineRule="auto"/>
              <w:ind w:firstLine="0"/>
              <w:contextualSpacing/>
              <w:rPr>
                <w:rFonts w:ascii="Times New Roman" w:hAnsi="Times New Roman" w:cs="Times New Roman"/>
                <w:b/>
                <w:sz w:val="26"/>
                <w:szCs w:val="26"/>
              </w:rPr>
            </w:pPr>
            <w:r w:rsidRPr="00956DD3">
              <w:rPr>
                <w:rFonts w:ascii="Times New Roman" w:hAnsi="Times New Roman" w:cs="Times New Roman"/>
                <w:b/>
                <w:sz w:val="26"/>
                <w:szCs w:val="26"/>
              </w:rPr>
              <w:t>Castigos, eliminaciones y recuperaciones de cartera de crédito</w:t>
            </w:r>
          </w:p>
          <w:p w:rsidR="00883C34" w:rsidRPr="00956DD3" w:rsidRDefault="00883C34" w:rsidP="00D24A06">
            <w:pPr>
              <w:pStyle w:val="Texto"/>
              <w:spacing w:after="0" w:line="240" w:lineRule="auto"/>
              <w:ind w:left="360" w:firstLine="0"/>
              <w:contextualSpacing/>
              <w:rPr>
                <w:rFonts w:ascii="Times New Roman" w:hAnsi="Times New Roman" w:cs="Times New Roman"/>
                <w:sz w:val="26"/>
                <w:szCs w:val="26"/>
              </w:rPr>
            </w:pPr>
          </w:p>
          <w:p w:rsidR="00883C34" w:rsidRPr="00956DD3" w:rsidRDefault="00883C34" w:rsidP="00DE6687">
            <w:pPr>
              <w:pStyle w:val="Texto"/>
              <w:spacing w:after="0" w:line="240" w:lineRule="auto"/>
              <w:ind w:firstLine="0"/>
              <w:contextualSpacing/>
              <w:rPr>
                <w:rFonts w:ascii="Times New Roman" w:hAnsi="Times New Roman" w:cs="Times New Roman"/>
                <w:b/>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r w:rsidRPr="002D578A">
              <w:rPr>
                <w:rFonts w:ascii="Times New Roman" w:hAnsi="Times New Roman" w:cs="Times New Roman"/>
                <w:sz w:val="26"/>
                <w:szCs w:val="26"/>
              </w:rPr>
              <w:t>La entidad deberá evaluar periódicamente si un crédito vencido debe permanecer en el balance general, o bien, ser castigado. Dicho castigo se realizará cancelando el saldo insoluto del crédito contra la estimación preventiva para riesgos crediticios. Cuando el crédito a castigar exceda el saldo de su estimación asociada, antes de efectuar el castigo, dicha estimación se deberá incrementar hasta por el monto de la diferencia.</w:t>
            </w:r>
          </w:p>
          <w:p w:rsidR="00883C34" w:rsidRPr="002D578A"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 xml:space="preserve">Adicionalmente a lo establecido en el párrafo anterior, la entidad podrá optar por </w:t>
            </w:r>
            <w:r w:rsidRPr="00D24A06">
              <w:rPr>
                <w:rFonts w:ascii="Times New Roman" w:hAnsi="Times New Roman" w:cs="Times New Roman"/>
                <w:sz w:val="26"/>
                <w:szCs w:val="26"/>
              </w:rPr>
              <w:lastRenderedPageBreak/>
              <w:t xml:space="preserve">eliminar de su activo aquellos créditos vencidos que se encuentren provisionados al 100% de acuerdo a lo señalado en el párrafo </w:t>
            </w:r>
            <w:r>
              <w:rPr>
                <w:rFonts w:ascii="Times New Roman" w:hAnsi="Times New Roman" w:cs="Times New Roman"/>
                <w:sz w:val="26"/>
                <w:szCs w:val="26"/>
              </w:rPr>
              <w:t>79</w:t>
            </w:r>
            <w:r w:rsidRPr="00D24A06">
              <w:rPr>
                <w:rFonts w:ascii="Times New Roman" w:hAnsi="Times New Roman" w:cs="Times New Roman"/>
                <w:sz w:val="26"/>
                <w:szCs w:val="26"/>
              </w:rPr>
              <w:t>, aún y cuando no cumplan con las condiciones para ser castigados. Para tales efectos, la entidad deberá cancelar el saldo insoluto del crédito contra la estimación preventiva para riesgos crediticios.</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lastRenderedPageBreak/>
              <w:t>Cualquier recuperación derivada de créditos previamente castigados o eliminados conforme a los dos párrafos anteriores, deberá reconocerse en los resultados del ejercicio.</w:t>
            </w:r>
            <w:r w:rsidRPr="00D24A06" w:rsidDel="00F6345D">
              <w:rPr>
                <w:rFonts w:ascii="Times New Roman" w:hAnsi="Times New Roman" w:cs="Times New Roman"/>
                <w:sz w:val="26"/>
                <w:szCs w:val="26"/>
              </w:rPr>
              <w:t xml:space="preserve"> </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i/>
                <w:sz w:val="26"/>
                <w:szCs w:val="26"/>
              </w:rPr>
            </w:pPr>
            <w:r w:rsidRPr="00D24A06">
              <w:rPr>
                <w:rFonts w:ascii="Times New Roman" w:hAnsi="Times New Roman" w:cs="Times New Roman"/>
                <w:b/>
                <w:i/>
                <w:sz w:val="26"/>
                <w:szCs w:val="26"/>
              </w:rPr>
              <w:t>Quitas, condonaciones, bonificaciones y descuentos sobre la cartera</w:t>
            </w:r>
          </w:p>
          <w:p w:rsidR="00883C34" w:rsidRPr="00D24A06" w:rsidRDefault="00883C34" w:rsidP="00B611D7">
            <w:pPr>
              <w:pStyle w:val="Texto"/>
              <w:spacing w:after="0" w:line="240" w:lineRule="auto"/>
              <w:ind w:firstLine="0"/>
              <w:contextualSpacing/>
              <w:rPr>
                <w:rFonts w:ascii="Times New Roman" w:hAnsi="Times New Roman" w:cs="Times New Roman"/>
                <w:b/>
                <w:i/>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 xml:space="preserve">Las quitas, condonaciones, bonificaciones y descuentos, es decir, el monto perdonado del pago del crédito </w:t>
            </w:r>
            <w:r w:rsidRPr="00D24A06">
              <w:rPr>
                <w:rFonts w:ascii="Times New Roman" w:hAnsi="Times New Roman" w:cs="Times New Roman"/>
                <w:iCs/>
                <w:sz w:val="26"/>
                <w:szCs w:val="26"/>
              </w:rPr>
              <w:t>en forma parcial o total,</w:t>
            </w:r>
            <w:r w:rsidRPr="00D24A06">
              <w:rPr>
                <w:rFonts w:ascii="Times New Roman" w:hAnsi="Times New Roman" w:cs="Times New Roman"/>
                <w:sz w:val="26"/>
                <w:szCs w:val="26"/>
              </w:rPr>
              <w:t xml:space="preserve"> se registrará con cargo a la estimación preventiva para riesgos crediticios. En caso de que el importe de estas exceda el saldo de la estimación asociada al crédito, previamente se deberán constituir estimaciones hasta por el monto de la diferencia.</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i/>
                <w:sz w:val="26"/>
                <w:szCs w:val="26"/>
              </w:rPr>
            </w:pPr>
            <w:r w:rsidRPr="00D24A06">
              <w:rPr>
                <w:rFonts w:ascii="Times New Roman" w:hAnsi="Times New Roman" w:cs="Times New Roman"/>
                <w:b/>
                <w:i/>
                <w:sz w:val="26"/>
                <w:szCs w:val="26"/>
              </w:rPr>
              <w:t>Créditos denominados en UDIS</w:t>
            </w:r>
          </w:p>
          <w:p w:rsidR="00883C34" w:rsidRPr="00D24A06" w:rsidRDefault="00883C34" w:rsidP="00B611D7">
            <w:pPr>
              <w:pStyle w:val="Texto"/>
              <w:spacing w:after="0" w:line="240" w:lineRule="auto"/>
              <w:ind w:firstLine="0"/>
              <w:contextualSpacing/>
              <w:rPr>
                <w:rFonts w:ascii="Times New Roman" w:hAnsi="Times New Roman" w:cs="Times New Roman"/>
                <w:b/>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Para el caso de créditos denominados en UDIS, la estimación correspondiente a dichos créditos se denominará en la unidad de cuenta de origen que corresponda.</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i/>
                <w:iCs/>
                <w:sz w:val="26"/>
                <w:szCs w:val="26"/>
              </w:rPr>
            </w:pPr>
            <w:r w:rsidRPr="00D24A06">
              <w:rPr>
                <w:rFonts w:ascii="Times New Roman" w:hAnsi="Times New Roman" w:cs="Times New Roman"/>
                <w:b/>
                <w:i/>
                <w:iCs/>
                <w:sz w:val="26"/>
                <w:szCs w:val="26"/>
              </w:rPr>
              <w:t>Cancelación de excedentes en la estimación preventiva para riesgos crediticios</w:t>
            </w:r>
          </w:p>
          <w:p w:rsidR="00883C34" w:rsidRPr="00D24A06" w:rsidRDefault="00883C34" w:rsidP="00B611D7">
            <w:pPr>
              <w:pStyle w:val="Texto"/>
              <w:spacing w:after="0" w:line="240" w:lineRule="auto"/>
              <w:ind w:firstLine="0"/>
              <w:contextualSpacing/>
              <w:rPr>
                <w:rFonts w:ascii="Times New Roman" w:hAnsi="Times New Roman" w:cs="Times New Roman"/>
                <w:b/>
                <w:i/>
                <w:iCs/>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 xml:space="preserve">Cuando el saldo de la estimación preventiva para riesgos crediticios haya excedido al importe requerido conforme al párrafo </w:t>
            </w:r>
            <w:r>
              <w:rPr>
                <w:rFonts w:ascii="Times New Roman" w:hAnsi="Times New Roman" w:cs="Times New Roman"/>
                <w:sz w:val="26"/>
                <w:szCs w:val="26"/>
              </w:rPr>
              <w:t>79</w:t>
            </w:r>
            <w:r w:rsidRPr="00D24A06">
              <w:rPr>
                <w:rFonts w:ascii="Times New Roman" w:hAnsi="Times New Roman" w:cs="Times New Roman"/>
                <w:sz w:val="26"/>
                <w:szCs w:val="26"/>
              </w:rPr>
              <w:t>, el diferencial se deberá cancelar en la fecha en que se efectúe la siguiente calificación del tipo de crédito de que se trate (comercial, de consumo o a la vivienda) contra los resultados del ejercicio, afectando el mismo concepto o rubro que lo originó, es decir, el de estimación preventiva para riesgos crediticios. En los casos en que el monto a cancelar sea superior al saldo registrado de dicha estimación en los resultados del ejercicio, el excedente se reconocerá como otros ingresos (egresos) de la operación.</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iCs/>
                <w:sz w:val="26"/>
                <w:szCs w:val="26"/>
              </w:rPr>
            </w:pPr>
            <w:r w:rsidRPr="00D24A06">
              <w:rPr>
                <w:rFonts w:ascii="Times New Roman" w:hAnsi="Times New Roman" w:cs="Times New Roman"/>
                <w:b/>
                <w:iCs/>
                <w:sz w:val="26"/>
                <w:szCs w:val="26"/>
              </w:rPr>
              <w:t>Cesión de cartera de crédito</w:t>
            </w:r>
          </w:p>
          <w:p w:rsidR="00883C34" w:rsidRPr="00D24A06" w:rsidRDefault="00883C34" w:rsidP="00B611D7">
            <w:pPr>
              <w:pStyle w:val="Texto"/>
              <w:spacing w:after="0" w:line="240" w:lineRule="auto"/>
              <w:ind w:firstLine="0"/>
              <w:contextualSpacing/>
              <w:rPr>
                <w:rFonts w:ascii="Times New Roman" w:hAnsi="Times New Roman" w:cs="Times New Roman"/>
                <w:b/>
                <w:iCs/>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Por las operaciones de cesión de cartera de crédito en las que no se cumplan las condiciones establecidas para dar de baja un activo financiero conforme al criterio C-1 “Reconocimiento y baja de activos financieros”, la entidad deberá conservar en el activo el monto del crédito cedido y reconocer en el pasivo el importe de los recursos provenientes del cesionario.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iCs/>
                <w:sz w:val="26"/>
                <w:szCs w:val="26"/>
              </w:rPr>
            </w:pPr>
            <w:r w:rsidRPr="00D24A06">
              <w:rPr>
                <w:rFonts w:ascii="Times New Roman" w:hAnsi="Times New Roman" w:cs="Times New Roman"/>
                <w:iCs/>
                <w:sz w:val="26"/>
                <w:szCs w:val="26"/>
              </w:rPr>
              <w:t xml:space="preserve">En los casos en que se lleve a cabo la cesión de cartera de crédito, en la que se cumpla con las condiciones para dar de baja un activo financiero establecidas en el </w:t>
            </w:r>
            <w:r w:rsidRPr="00D24A06">
              <w:rPr>
                <w:rFonts w:ascii="Times New Roman" w:hAnsi="Times New Roman" w:cs="Times New Roman"/>
                <w:iCs/>
                <w:sz w:val="26"/>
                <w:szCs w:val="26"/>
              </w:rPr>
              <w:lastRenderedPageBreak/>
              <w:t>criterio C-1, se deberá cancelar la estimación asociada a la misma.</w:t>
            </w:r>
          </w:p>
          <w:p w:rsidR="00883C34" w:rsidRPr="00D24A06" w:rsidRDefault="00883C34" w:rsidP="00B611D7">
            <w:pPr>
              <w:pStyle w:val="Texto"/>
              <w:spacing w:after="0" w:line="240" w:lineRule="auto"/>
              <w:ind w:firstLine="0"/>
              <w:contextualSpacing/>
              <w:rPr>
                <w:rFonts w:ascii="Times New Roman" w:hAnsi="Times New Roman" w:cs="Times New Roman"/>
                <w:iCs/>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iCs/>
                <w:sz w:val="26"/>
                <w:szCs w:val="26"/>
              </w:rPr>
            </w:pPr>
            <w:r w:rsidRPr="00D24A06">
              <w:rPr>
                <w:rFonts w:ascii="Times New Roman" w:hAnsi="Times New Roman" w:cs="Times New Roman"/>
                <w:b/>
                <w:iCs/>
                <w:sz w:val="26"/>
                <w:szCs w:val="26"/>
              </w:rPr>
              <w:t>Traspaso a cartera vigente</w:t>
            </w:r>
          </w:p>
          <w:p w:rsidR="00883C34" w:rsidRPr="00D24A06" w:rsidRDefault="00883C34" w:rsidP="00B611D7">
            <w:pPr>
              <w:pStyle w:val="Texto"/>
              <w:spacing w:after="0" w:line="240" w:lineRule="auto"/>
              <w:ind w:firstLine="0"/>
              <w:contextualSpacing/>
              <w:rPr>
                <w:rFonts w:ascii="Times New Roman" w:hAnsi="Times New Roman" w:cs="Times New Roman"/>
                <w:b/>
                <w:iCs/>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iCs/>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lastRenderedPageBreak/>
              <w:t>Se regresarán a cartera vigente, los créditos vencidos en los que se liquiden totalmente los saldos pendientes de pago (principal e intereses, entre otros) o, que siendo créditos reestructurados o renovados, cumplan con el pago sostenido del crédito.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sz w:val="26"/>
                <w:szCs w:val="26"/>
              </w:rPr>
            </w:pPr>
            <w:r w:rsidRPr="00D24A06">
              <w:rPr>
                <w:rFonts w:ascii="Times New Roman" w:hAnsi="Times New Roman" w:cs="Times New Roman"/>
                <w:b/>
                <w:sz w:val="26"/>
                <w:szCs w:val="26"/>
              </w:rPr>
              <w:t>Normas de presentación</w:t>
            </w:r>
          </w:p>
          <w:p w:rsidR="00883C34" w:rsidRPr="00D24A06" w:rsidRDefault="00883C34" w:rsidP="00B611D7">
            <w:pPr>
              <w:pStyle w:val="Texto"/>
              <w:spacing w:after="0" w:line="240" w:lineRule="auto"/>
              <w:ind w:firstLine="0"/>
              <w:contextualSpacing/>
              <w:rPr>
                <w:rFonts w:ascii="Times New Roman" w:hAnsi="Times New Roman" w:cs="Times New Roman"/>
                <w:b/>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i/>
                <w:sz w:val="26"/>
                <w:szCs w:val="26"/>
              </w:rPr>
            </w:pPr>
            <w:r w:rsidRPr="00D24A06">
              <w:rPr>
                <w:rFonts w:ascii="Times New Roman" w:hAnsi="Times New Roman" w:cs="Times New Roman"/>
                <w:i/>
                <w:sz w:val="26"/>
                <w:szCs w:val="26"/>
              </w:rPr>
              <w:t>Balance general</w:t>
            </w:r>
          </w:p>
          <w:p w:rsidR="00883C34" w:rsidRPr="00D24A06" w:rsidRDefault="00883C34" w:rsidP="00B611D7">
            <w:pPr>
              <w:pStyle w:val="Texto"/>
              <w:spacing w:after="0" w:line="240" w:lineRule="auto"/>
              <w:ind w:firstLine="0"/>
              <w:contextualSpacing/>
              <w:rPr>
                <w:rFonts w:ascii="Times New Roman" w:hAnsi="Times New Roman" w:cs="Times New Roman"/>
                <w:b/>
                <w:caps/>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la cartera se agrupará en vigente y vencida, según el tipo de crédito (créditos comerciales, de consumo o a la vivienda, y a su vez, clasificados de acuerdo con la naturaleza de la operación);</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la estimación preventiva para riesgos crediticios deberá presentarse en un rubro por separado, restando al de la cartera de crédito;</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el monto de los créditos por operaciones de arrendamiento capitalizable y factoraje financiero, tanto vigentes como vencidos, deberán presentarse netos de los créditos diferidos a que se refieren los párrafos 4</w:t>
            </w:r>
            <w:r>
              <w:rPr>
                <w:rFonts w:ascii="Times New Roman" w:hAnsi="Times New Roman" w:cs="Times New Roman"/>
                <w:sz w:val="26"/>
                <w:szCs w:val="26"/>
              </w:rPr>
              <w:t>3</w:t>
            </w:r>
            <w:r w:rsidRPr="00D24A06">
              <w:rPr>
                <w:rFonts w:ascii="Times New Roman" w:hAnsi="Times New Roman" w:cs="Times New Roman"/>
                <w:sz w:val="26"/>
                <w:szCs w:val="26"/>
              </w:rPr>
              <w:t xml:space="preserve"> y 4</w:t>
            </w:r>
            <w:r>
              <w:rPr>
                <w:rFonts w:ascii="Times New Roman" w:hAnsi="Times New Roman" w:cs="Times New Roman"/>
                <w:sz w:val="26"/>
                <w:szCs w:val="26"/>
              </w:rPr>
              <w:t>8</w:t>
            </w:r>
            <w:r w:rsidRPr="00D24A06">
              <w:rPr>
                <w:rFonts w:ascii="Times New Roman" w:hAnsi="Times New Roman" w:cs="Times New Roman"/>
                <w:sz w:val="26"/>
                <w:szCs w:val="26"/>
              </w:rPr>
              <w:t xml:space="preserve"> respectivamente, tratándose de operaciones de factoraje financiero se presentará neto del aforo correspondiente; </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los intereses cobrados por anticipado deberán presentarse junto con la cartera que les dio origen;</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se presentará en el rubro de créditos diferidos y cobros anticipados, la opción de compra a precio reducido, así como las comisiones que se recibieran anticipadamente a la devengación del ingreso relativo;</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las comisiones cobradas por el otorgamiento del crédito se deberán presentar de manera neta de los costos y gastos asociados presentándose en el rubro de otros activos, o bien, de créditos diferidos y cobros anticipados, según corresponda a su naturaleza deudora o acreedora. De igual forma y con la misma presentación, se deberán mostrar las comisiones cobradas por concepto de anualidad de tarjeta de crédito de manera neta de sus costos y gastos asociados;</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se presentará en el rubro de otras cuentas por pagar, el pasivo por depósitos en garantía;</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se presentará dentro del rubro de otras cuentas por pagar, si su importancia relativa lo amerita, los saldos acreedores de los créditos por ejemplo cuando existe un saldo a favor proveniente de créditos revolventes porque el acreditado realizó un pago superior al exigible;</w:t>
            </w:r>
          </w:p>
          <w:p w:rsidR="00920828"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t>será presentado en el rubro de préstamos bancarios y de otros organismos el pasivo derivado de las operaciones de cesión de cartera de crédito;</w:t>
            </w:r>
          </w:p>
          <w:p w:rsidR="00883C34" w:rsidRPr="00D24A06" w:rsidRDefault="00883C34" w:rsidP="00883C34">
            <w:pPr>
              <w:pStyle w:val="Texto"/>
              <w:numPr>
                <w:ilvl w:val="1"/>
                <w:numId w:val="85"/>
              </w:numPr>
              <w:spacing w:after="0" w:line="240" w:lineRule="auto"/>
              <w:ind w:left="423" w:hanging="423"/>
              <w:contextualSpacing/>
              <w:rPr>
                <w:rFonts w:ascii="Times New Roman" w:hAnsi="Times New Roman" w:cs="Times New Roman"/>
                <w:sz w:val="26"/>
                <w:szCs w:val="26"/>
              </w:rPr>
            </w:pPr>
            <w:r w:rsidRPr="00D24A06">
              <w:rPr>
                <w:rFonts w:ascii="Times New Roman" w:hAnsi="Times New Roman" w:cs="Times New Roman"/>
                <w:sz w:val="26"/>
                <w:szCs w:val="26"/>
              </w:rPr>
              <w:lastRenderedPageBreak/>
              <w:t>se presentará en cuentas de orden</w:t>
            </w:r>
            <w:r w:rsidR="00920828">
              <w:rPr>
                <w:rFonts w:ascii="Times New Roman" w:hAnsi="Times New Roman" w:cs="Times New Roman"/>
                <w:sz w:val="26"/>
                <w:szCs w:val="26"/>
              </w:rPr>
              <w:t>,</w:t>
            </w:r>
            <w:r w:rsidRPr="00D24A06">
              <w:rPr>
                <w:rFonts w:ascii="Times New Roman" w:hAnsi="Times New Roman" w:cs="Times New Roman"/>
                <w:sz w:val="26"/>
                <w:szCs w:val="26"/>
              </w:rPr>
              <w:t xml:space="preserve"> en el rubro denominado compromisos crediticios el monto no utilizado de las líneas de crédito que la entidad hubiere otorgado, y</w:t>
            </w:r>
          </w:p>
          <w:p w:rsidR="00883C34" w:rsidRPr="00D24A06" w:rsidRDefault="00883C34" w:rsidP="00883C34">
            <w:pPr>
              <w:pStyle w:val="Texto"/>
              <w:numPr>
                <w:ilvl w:val="1"/>
                <w:numId w:val="85"/>
              </w:numPr>
              <w:spacing w:after="0" w:line="240" w:lineRule="auto"/>
              <w:ind w:left="423"/>
              <w:contextualSpacing/>
              <w:rPr>
                <w:rFonts w:ascii="Times New Roman" w:hAnsi="Times New Roman" w:cs="Times New Roman"/>
                <w:sz w:val="26"/>
                <w:szCs w:val="26"/>
              </w:rPr>
            </w:pPr>
            <w:r w:rsidRPr="00D24A06">
              <w:rPr>
                <w:rFonts w:ascii="Times New Roman" w:hAnsi="Times New Roman" w:cs="Times New Roman"/>
                <w:sz w:val="26"/>
                <w:szCs w:val="26"/>
              </w:rPr>
              <w:t xml:space="preserve">se presentará en cuentas de orden, en el rubro de intereses devengados no cobrados derivados de cartera de crédito vencida, el monto de los intereses devengados no cobrados derivados de los créditos que se mantengan en cartera vencida, así como los ingresos financieros devengados no cobrados. </w:t>
            </w:r>
          </w:p>
          <w:p w:rsidR="00883C34" w:rsidRPr="00D24A06" w:rsidRDefault="00883C34" w:rsidP="00883C34">
            <w:pPr>
              <w:pStyle w:val="Texto"/>
              <w:spacing w:after="0" w:line="240" w:lineRule="auto"/>
              <w:ind w:left="423" w:firstLine="0"/>
              <w:contextualSpacing/>
              <w:rPr>
                <w:rFonts w:ascii="Times New Roman" w:hAnsi="Times New Roman" w:cs="Times New Roman"/>
                <w:sz w:val="26"/>
                <w:szCs w:val="26"/>
              </w:rPr>
            </w:pPr>
          </w:p>
          <w:p w:rsidR="00883C34" w:rsidRPr="00D24A06" w:rsidRDefault="00883C34" w:rsidP="00883C34">
            <w:pPr>
              <w:pStyle w:val="Texto"/>
              <w:spacing w:after="0" w:line="240" w:lineRule="auto"/>
              <w:ind w:firstLine="0"/>
              <w:contextualSpacing/>
              <w:rPr>
                <w:rFonts w:ascii="Times New Roman" w:hAnsi="Times New Roman" w:cs="Times New Roman"/>
                <w:i/>
                <w:sz w:val="26"/>
                <w:szCs w:val="26"/>
              </w:rPr>
            </w:pPr>
            <w:r w:rsidRPr="00D24A06">
              <w:rPr>
                <w:rFonts w:ascii="Times New Roman" w:hAnsi="Times New Roman" w:cs="Times New Roman"/>
                <w:i/>
                <w:sz w:val="26"/>
                <w:szCs w:val="26"/>
              </w:rPr>
              <w:t>Estado de resultados</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lastRenderedPageBreak/>
              <w:t>Se agruparán como ingresos por intereses, los intereses devengados, la amortización de los intereses cobrados por anticipado, el ingreso financiero devengado en las operaciones de arrendamiento capitalizable y factoraje financiero, la amortización de las comisiones cobradas por el otorgamiento del crédito y el resultado por valorización de UDIS (saldo acreedor). Asimismo, se agruparán como gastos por intereses, la amortización de los costos y gastos asociados por el otorgamiento del crédito, así como el resultado por valorización de UDIS (saldo deudor).</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Se presentará como un rubro específico, inmediatamente después del margen financiero, la estimación preventiva para riesgos crediticios, así como el resultado por valorización de UDIS que se originen de la estimación denominada en UDIS.</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Se presentarán en el rubro de comisiones y tarifas cobradas las comisiones distintas a las relativas al otorgamiento del crédito, incluyendo las comisiones cobradas por concepto de anualidad de tarjeta de crédito.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b/>
                <w:bCs/>
                <w:sz w:val="26"/>
                <w:szCs w:val="26"/>
              </w:rPr>
            </w:pPr>
            <w:r w:rsidRPr="00D24A06">
              <w:rPr>
                <w:rFonts w:ascii="Times New Roman" w:hAnsi="Times New Roman" w:cs="Times New Roman"/>
                <w:sz w:val="26"/>
                <w:szCs w:val="26"/>
              </w:rPr>
              <w:t>Se presentarán en el rubro de otros ingresos (egresos) de la operación, las recuperaciones de operaciones previamente castigadas o eliminadas</w:t>
            </w:r>
            <w:r w:rsidRPr="00D24A06">
              <w:rPr>
                <w:sz w:val="26"/>
                <w:szCs w:val="26"/>
              </w:rPr>
              <w:t>,</w:t>
            </w:r>
            <w:r w:rsidRPr="00D24A06">
              <w:rPr>
                <w:rFonts w:ascii="Times New Roman" w:hAnsi="Times New Roman" w:cs="Times New Roman"/>
                <w:sz w:val="26"/>
                <w:szCs w:val="26"/>
              </w:rPr>
              <w:t xml:space="preserve"> y la cancelación del excedente a que se refiere el </w:t>
            </w:r>
            <w:r w:rsidRPr="00AF288D">
              <w:rPr>
                <w:rFonts w:ascii="Times New Roman" w:hAnsi="Times New Roman" w:cs="Times New Roman"/>
                <w:sz w:val="26"/>
                <w:szCs w:val="26"/>
              </w:rPr>
              <w:t>párrafo 8</w:t>
            </w:r>
            <w:r>
              <w:rPr>
                <w:rFonts w:ascii="Times New Roman" w:hAnsi="Times New Roman" w:cs="Times New Roman"/>
                <w:sz w:val="26"/>
                <w:szCs w:val="26"/>
              </w:rPr>
              <w:t>5</w:t>
            </w:r>
            <w:r w:rsidRPr="00D24A06">
              <w:rPr>
                <w:rFonts w:ascii="Times New Roman" w:hAnsi="Times New Roman" w:cs="Times New Roman"/>
                <w:sz w:val="26"/>
                <w:szCs w:val="26"/>
              </w:rPr>
              <w:t>.</w:t>
            </w:r>
          </w:p>
          <w:p w:rsidR="00883C34" w:rsidRPr="00D24A06" w:rsidRDefault="00883C34" w:rsidP="00B611D7">
            <w:pPr>
              <w:pStyle w:val="Texto"/>
              <w:spacing w:after="0" w:line="240" w:lineRule="auto"/>
              <w:ind w:firstLine="0"/>
              <w:contextualSpacing/>
              <w:rPr>
                <w:rFonts w:ascii="Times New Roman" w:hAnsi="Times New Roman" w:cs="Times New Roman"/>
                <w:b/>
                <w:bCs/>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La utilidad o pérdida derivada de la cesión de cartera de crédito se presentará en el rubro de otros ingresos (egresos) de la operación.</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2D578A" w:rsidTr="00883C34">
        <w:tc>
          <w:tcPr>
            <w:tcW w:w="8789" w:type="dxa"/>
            <w:gridSpan w:val="2"/>
          </w:tcPr>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r w:rsidRPr="00D24A06">
              <w:rPr>
                <w:rFonts w:ascii="Times New Roman" w:hAnsi="Times New Roman" w:cs="Times New Roman"/>
                <w:sz w:val="26"/>
                <w:szCs w:val="26"/>
              </w:rPr>
              <w:t xml:space="preserve">Se presentarán en el rubro de otros ingresos (egresos) de la operación </w:t>
            </w:r>
            <w:r w:rsidRPr="00D24A06">
              <w:rPr>
                <w:rFonts w:ascii="Times New Roman" w:hAnsi="Times New Roman" w:cs="Times New Roman"/>
                <w:bCs/>
                <w:sz w:val="26"/>
                <w:szCs w:val="26"/>
              </w:rPr>
              <w:t>la amortización del crédito diferido generado por la opción de compra</w:t>
            </w:r>
            <w:r w:rsidRPr="00D24A06">
              <w:rPr>
                <w:rFonts w:ascii="Times New Roman" w:hAnsi="Times New Roman" w:cs="Times New Roman"/>
                <w:sz w:val="26"/>
                <w:szCs w:val="26"/>
              </w:rPr>
              <w:t xml:space="preserve"> a un precio reducido, la opción de compra cuando se adopte al vencimiento, así como el ingreso por la participación en la venta de los bienes en arrendamiento capitalizable a un tercero.</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p w:rsidR="00883C34" w:rsidRPr="00D24A06" w:rsidRDefault="00883C34" w:rsidP="00B611D7">
            <w:pPr>
              <w:pStyle w:val="Texto"/>
              <w:spacing w:after="0" w:line="240" w:lineRule="auto"/>
              <w:ind w:firstLine="0"/>
              <w:contextualSpacing/>
              <w:rPr>
                <w:rFonts w:ascii="Times New Roman" w:hAnsi="Times New Roman" w:cs="Times New Roman"/>
                <w:b/>
                <w:bCs/>
                <w:sz w:val="26"/>
                <w:szCs w:val="26"/>
              </w:rPr>
            </w:pPr>
            <w:r w:rsidRPr="00D24A06">
              <w:rPr>
                <w:rFonts w:ascii="Times New Roman" w:hAnsi="Times New Roman" w:cs="Times New Roman"/>
                <w:b/>
                <w:bCs/>
                <w:sz w:val="26"/>
                <w:szCs w:val="26"/>
              </w:rPr>
              <w:t>Normas de revelación</w:t>
            </w:r>
          </w:p>
          <w:p w:rsidR="00883C34" w:rsidRPr="00D24A06" w:rsidRDefault="00883C34" w:rsidP="00B611D7">
            <w:pPr>
              <w:pStyle w:val="Texto"/>
              <w:spacing w:after="0" w:line="240" w:lineRule="auto"/>
              <w:ind w:firstLine="0"/>
              <w:contextualSpacing/>
              <w:rPr>
                <w:rFonts w:ascii="Times New Roman" w:hAnsi="Times New Roman" w:cs="Times New Roman"/>
                <w:sz w:val="26"/>
                <w:szCs w:val="26"/>
              </w:rPr>
            </w:pP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r w:rsidR="00883C34" w:rsidRPr="00B611D7" w:rsidTr="00883C34">
        <w:tc>
          <w:tcPr>
            <w:tcW w:w="8789" w:type="dxa"/>
            <w:gridSpan w:val="2"/>
          </w:tcPr>
          <w:p w:rsidR="00883C34" w:rsidRPr="002D578A" w:rsidRDefault="00883C34" w:rsidP="00D24A06">
            <w:pPr>
              <w:pStyle w:val="Texto"/>
              <w:spacing w:after="0" w:line="240" w:lineRule="auto"/>
              <w:ind w:left="709" w:hanging="709"/>
              <w:contextualSpacing/>
              <w:rPr>
                <w:rFonts w:ascii="Times New Roman" w:hAnsi="Times New Roman" w:cs="Times New Roman"/>
                <w:sz w:val="26"/>
                <w:szCs w:val="26"/>
              </w:rPr>
            </w:pPr>
            <w:r w:rsidRPr="002D578A">
              <w:rPr>
                <w:rFonts w:ascii="Times New Roman" w:hAnsi="Times New Roman" w:cs="Times New Roman"/>
                <w:sz w:val="26"/>
                <w:szCs w:val="26"/>
              </w:rPr>
              <w:t>Mediante notas a los estados financieros</w:t>
            </w:r>
            <w:r>
              <w:rPr>
                <w:rFonts w:ascii="Times New Roman" w:hAnsi="Times New Roman" w:cs="Times New Roman"/>
                <w:sz w:val="26"/>
                <w:szCs w:val="26"/>
              </w:rPr>
              <w:t>,</w:t>
            </w:r>
            <w:r w:rsidRPr="002D578A">
              <w:rPr>
                <w:rFonts w:ascii="Times New Roman" w:hAnsi="Times New Roman" w:cs="Times New Roman"/>
                <w:sz w:val="26"/>
                <w:szCs w:val="26"/>
              </w:rPr>
              <w:t xml:space="preserve"> se deberá revelar lo siguiente:</w:t>
            </w:r>
          </w:p>
          <w:p w:rsidR="00883C34" w:rsidRPr="002D578A" w:rsidRDefault="00883C34" w:rsidP="00B611D7">
            <w:pPr>
              <w:pStyle w:val="Texto"/>
              <w:spacing w:after="0" w:line="240" w:lineRule="auto"/>
              <w:ind w:left="709" w:hanging="567"/>
              <w:contextualSpacing/>
              <w:rPr>
                <w:rFonts w:ascii="Times New Roman" w:hAnsi="Times New Roman" w:cs="Times New Roman"/>
                <w:sz w:val="26"/>
                <w:szCs w:val="26"/>
              </w:rPr>
            </w:pP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principales políticas y procedimientos establecidos para el otorgamiento, cesión, control y recuperación de créditos, así como las relativas a la evaluación y seguimiento del riesgo crediticio;</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políticas y procedimientos establecidos para determinar concentraciones de riesgo de crédito;</w:t>
            </w:r>
          </w:p>
          <w:p w:rsidR="00883C34" w:rsidRPr="00D24A06"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desglose de la cartera vigente y vencida por tipo de crédito </w:t>
            </w:r>
            <w:r w:rsidRPr="00D24A06">
              <w:rPr>
                <w:rFonts w:ascii="Times New Roman" w:hAnsi="Times New Roman" w:cs="Times New Roman"/>
                <w:sz w:val="26"/>
                <w:szCs w:val="26"/>
              </w:rPr>
              <w:t>(actividad empresarial o comercial, préstamos de liquidez a otras sociedades financieras populares o comunitarias, de consumo, y media o residencial y de interés social), distinguiendo los denominados en moneda nacional y UDIS;</w:t>
            </w:r>
          </w:p>
          <w:p w:rsidR="00883C34" w:rsidRPr="00D24A06"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D24A06">
              <w:rPr>
                <w:rFonts w:ascii="Times New Roman" w:hAnsi="Times New Roman" w:cs="Times New Roman"/>
                <w:sz w:val="26"/>
                <w:szCs w:val="26"/>
              </w:rPr>
              <w:t xml:space="preserve">identificación por tipo de crédito (actividad empresarial o comercial, préstamos de liquidez a otras sociedades financieras populares o comunitarias, de consumo, y media o residencial y de interés social), del saldo de la cartera vencida a partir de la fecha en que esta fue clasificada como tal, en los siguientes plazos: de </w:t>
            </w:r>
            <w:smartTag w:uri="urn:schemas-microsoft-com:office:smarttags" w:element="metricconverter">
              <w:smartTagPr>
                <w:attr w:name="ProductID" w:val="1 a"/>
              </w:smartTagPr>
              <w:r w:rsidRPr="00D24A06">
                <w:rPr>
                  <w:rFonts w:ascii="Times New Roman" w:hAnsi="Times New Roman" w:cs="Times New Roman"/>
                  <w:sz w:val="26"/>
                  <w:szCs w:val="26"/>
                </w:rPr>
                <w:t>1 a</w:t>
              </w:r>
            </w:smartTag>
            <w:r w:rsidRPr="00D24A06">
              <w:rPr>
                <w:rFonts w:ascii="Times New Roman" w:hAnsi="Times New Roman" w:cs="Times New Roman"/>
                <w:sz w:val="26"/>
                <w:szCs w:val="26"/>
              </w:rPr>
              <w:t xml:space="preserve"> 180 días naturales, de </w:t>
            </w:r>
            <w:smartTag w:uri="urn:schemas-microsoft-com:office:smarttags" w:element="metricconverter">
              <w:smartTagPr>
                <w:attr w:name="ProductID" w:val="181 a"/>
              </w:smartTagPr>
              <w:r w:rsidRPr="00D24A06">
                <w:rPr>
                  <w:rFonts w:ascii="Times New Roman" w:hAnsi="Times New Roman" w:cs="Times New Roman"/>
                  <w:sz w:val="26"/>
                  <w:szCs w:val="26"/>
                </w:rPr>
                <w:t>181 a</w:t>
              </w:r>
            </w:smartTag>
            <w:r w:rsidRPr="00D24A06">
              <w:rPr>
                <w:rFonts w:ascii="Times New Roman" w:hAnsi="Times New Roman" w:cs="Times New Roman"/>
                <w:sz w:val="26"/>
                <w:szCs w:val="26"/>
              </w:rPr>
              <w:t xml:space="preserve"> 365 días naturales, de 366 días naturales a 2 años y más de 2 años de vencida;</w:t>
            </w:r>
          </w:p>
          <w:p w:rsidR="00883C34" w:rsidRPr="00D24A06"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D24A06">
              <w:rPr>
                <w:rFonts w:ascii="Times New Roman" w:hAnsi="Times New Roman" w:cs="Times New Roman"/>
                <w:sz w:val="26"/>
                <w:szCs w:val="26"/>
              </w:rPr>
              <w:t>en forma agregada, el porcentaje de concentración y principales características de la cartera por sector, región o grupo económico, entendiéndose por este último a los grupos de personas físicas y morales que por sus nexos patrimoniales o de responsabilidad constituyen riesgos comunes;</w:t>
            </w:r>
          </w:p>
          <w:p w:rsidR="00883C34" w:rsidRPr="00D24A06" w:rsidRDefault="00883C34" w:rsidP="00D24A06">
            <w:pPr>
              <w:pStyle w:val="Texto"/>
              <w:numPr>
                <w:ilvl w:val="1"/>
                <w:numId w:val="87"/>
              </w:numPr>
              <w:tabs>
                <w:tab w:val="center" w:pos="4464"/>
                <w:tab w:val="right" w:pos="8582"/>
              </w:tabs>
              <w:spacing w:after="0" w:line="240" w:lineRule="auto"/>
              <w:ind w:left="709" w:right="-70" w:hanging="567"/>
              <w:contextualSpacing/>
              <w:rPr>
                <w:rFonts w:ascii="Times New Roman" w:hAnsi="Times New Roman" w:cs="Times New Roman"/>
                <w:sz w:val="26"/>
                <w:szCs w:val="26"/>
              </w:rPr>
            </w:pPr>
            <w:r w:rsidRPr="00D24A06">
              <w:rPr>
                <w:rFonts w:ascii="Times New Roman" w:hAnsi="Times New Roman" w:cs="Times New Roman"/>
                <w:sz w:val="26"/>
                <w:szCs w:val="26"/>
              </w:rPr>
              <w:t>los montos de las comisiones y de los costos y gastos reconocidos por el otorgamiento del crédito; plazo promedio ponderado para su amortización; descripción de los conceptos que integran las comisiones por originación de tales créditos y los costos y gastos asociados a dichas comisiones, así como elementos que justifiquen su relación directa con el otorgamiento del crédito;</w:t>
            </w:r>
          </w:p>
          <w:p w:rsidR="00883C34" w:rsidRPr="00D24A06"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D24A06">
              <w:rPr>
                <w:rFonts w:ascii="Times New Roman" w:hAnsi="Times New Roman" w:cs="Times New Roman"/>
                <w:sz w:val="26"/>
                <w:szCs w:val="26"/>
              </w:rPr>
              <w:t>explicación de las principales variaciones en la cartera vencida identificando, entre otros: reestructuraciones, renovaciones, adjudicaciones, quitas, castigos, traspasos hacia la cartera vigente, así como desde la cartera vigente;</w:t>
            </w:r>
          </w:p>
          <w:p w:rsidR="00883C34" w:rsidRPr="00D24A06"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D24A06">
              <w:rPr>
                <w:rFonts w:ascii="Times New Roman" w:hAnsi="Times New Roman" w:cs="Times New Roman"/>
                <w:sz w:val="26"/>
                <w:szCs w:val="26"/>
              </w:rPr>
              <w:t>breve descripción de la metodología para determinar las estimaciones preventivas para riesgos crediticios;</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D24A06">
              <w:rPr>
                <w:rFonts w:ascii="Times New Roman" w:hAnsi="Times New Roman" w:cs="Times New Roman"/>
                <w:sz w:val="26"/>
                <w:szCs w:val="26"/>
              </w:rPr>
              <w:t>calificación por grado de riesgo, importe de la cartera, así como de la estimación preventiva para riesgos crediticios, desagregada de acuerdo a la estratificación contenida en las metodologías para la calificación de la cartera de crédito y por tipo de crédito (actividad empresarial o comercial,</w:t>
            </w:r>
            <w:r>
              <w:rPr>
                <w:rFonts w:ascii="Times New Roman" w:hAnsi="Times New Roman" w:cs="Times New Roman"/>
                <w:sz w:val="26"/>
                <w:szCs w:val="26"/>
              </w:rPr>
              <w:t xml:space="preserve"> y</w:t>
            </w:r>
            <w:r w:rsidRPr="00D24A06">
              <w:rPr>
                <w:rFonts w:ascii="Times New Roman" w:hAnsi="Times New Roman" w:cs="Times New Roman"/>
                <w:sz w:val="26"/>
                <w:szCs w:val="26"/>
              </w:rPr>
              <w:t xml:space="preserve"> préstamos de liquidez a otras sociedades financieras populares o comunitarias</w:t>
            </w:r>
            <w:r w:rsidRPr="00401DF1">
              <w:rPr>
                <w:rFonts w:ascii="Times New Roman" w:hAnsi="Times New Roman" w:cs="Times New Roman"/>
                <w:sz w:val="26"/>
                <w:szCs w:val="26"/>
              </w:rPr>
              <w:t>);</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saldo de la estimación preventiva para riesgos crediticios, desglosándola </w:t>
            </w:r>
            <w:r w:rsidRPr="00956DD3">
              <w:rPr>
                <w:rFonts w:ascii="Times New Roman" w:hAnsi="Times New Roman" w:cs="Times New Roman"/>
                <w:sz w:val="26"/>
                <w:szCs w:val="26"/>
              </w:rPr>
              <w:t>de acuerdo a las metodologías para la calificación de la cartera de crédito, así como por</w:t>
            </w:r>
            <w:r w:rsidRPr="002D578A">
              <w:rPr>
                <w:rFonts w:ascii="Times New Roman" w:hAnsi="Times New Roman" w:cs="Times New Roman"/>
                <w:sz w:val="26"/>
                <w:szCs w:val="26"/>
              </w:rPr>
              <w:t xml:space="preserve"> tipo de crédito (actividad empresarial o comercial</w:t>
            </w:r>
            <w:r w:rsidRPr="00D24A06">
              <w:rPr>
                <w:rFonts w:ascii="Times New Roman" w:hAnsi="Times New Roman" w:cs="Times New Roman"/>
                <w:sz w:val="26"/>
                <w:szCs w:val="26"/>
              </w:rPr>
              <w:t xml:space="preserve">, préstamos de </w:t>
            </w:r>
            <w:r w:rsidRPr="00D24A06">
              <w:rPr>
                <w:rFonts w:ascii="Times New Roman" w:hAnsi="Times New Roman" w:cs="Times New Roman"/>
                <w:sz w:val="26"/>
                <w:szCs w:val="26"/>
              </w:rPr>
              <w:lastRenderedPageBreak/>
              <w:t>liquidez a otras sociedades financieras populares o comunitarias, de consumo, y media o residencial y de interés social);</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movimientos que se hayan realizado a la estimación preventiva para riesgos crediticios durante el ejercicio por la creación de la misma, castigos, cancelaciones, quitas, condonaciones, bonificaciones, descuentos y adjudicaciones, entre otros;</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importe derivado de la cancelación de la estimación preventiva para riesgos crediticios reconocido como otros ingresos (egresos) de la operación, y las razones que motivaron dicha cancelación;</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importe de los créditos vencidos que conforme al párrafo </w:t>
            </w:r>
            <w:r w:rsidRPr="00D24A06">
              <w:rPr>
                <w:rFonts w:ascii="Times New Roman" w:hAnsi="Times New Roman" w:cs="Times New Roman"/>
                <w:sz w:val="26"/>
                <w:szCs w:val="26"/>
              </w:rPr>
              <w:t>8</w:t>
            </w:r>
            <w:r>
              <w:rPr>
                <w:rFonts w:ascii="Times New Roman" w:hAnsi="Times New Roman" w:cs="Times New Roman"/>
                <w:sz w:val="26"/>
                <w:szCs w:val="26"/>
              </w:rPr>
              <w:t>1</w:t>
            </w:r>
            <w:r w:rsidRPr="002D578A">
              <w:rPr>
                <w:rFonts w:ascii="Times New Roman" w:hAnsi="Times New Roman" w:cs="Times New Roman"/>
                <w:sz w:val="26"/>
                <w:szCs w:val="26"/>
              </w:rPr>
              <w:t xml:space="preserve"> fueron eliminados de los activos, desglosando aqu</w:t>
            </w:r>
            <w:r>
              <w:rPr>
                <w:rFonts w:ascii="Times New Roman" w:hAnsi="Times New Roman" w:cs="Times New Roman"/>
                <w:sz w:val="26"/>
                <w:szCs w:val="26"/>
              </w:rPr>
              <w:t>e</w:t>
            </w:r>
            <w:r w:rsidRPr="002D578A">
              <w:rPr>
                <w:rFonts w:ascii="Times New Roman" w:hAnsi="Times New Roman" w:cs="Times New Roman"/>
                <w:sz w:val="26"/>
                <w:szCs w:val="26"/>
              </w:rPr>
              <w:t>llos otorgados a partes relacionadas;</w:t>
            </w:r>
          </w:p>
          <w:p w:rsidR="00883C34" w:rsidRPr="002D578A" w:rsidRDefault="00883C34">
            <w:pPr>
              <w:pStyle w:val="Texto"/>
              <w:numPr>
                <w:ilvl w:val="1"/>
                <w:numId w:val="87"/>
              </w:numPr>
              <w:spacing w:after="0" w:line="240" w:lineRule="auto"/>
              <w:ind w:left="709" w:hanging="567"/>
              <w:contextualSpacing/>
              <w:rPr>
                <w:rFonts w:ascii="Times New Roman" w:hAnsi="Times New Roman" w:cs="Times New Roman"/>
                <w:sz w:val="26"/>
                <w:szCs w:val="26"/>
              </w:rPr>
            </w:pPr>
            <w:r w:rsidRPr="00B175E4">
              <w:rPr>
                <w:rFonts w:ascii="Times New Roman" w:hAnsi="Times New Roman" w:cs="Times New Roman"/>
                <w:sz w:val="26"/>
                <w:szCs w:val="26"/>
              </w:rPr>
              <w:t xml:space="preserve">las principales políticas y procedimientos relativos al otorgamiento de reestructuras y renovaciones, incluyendo a las reestructuras o renovaciones que consoliden diversos créditos </w:t>
            </w:r>
            <w:r>
              <w:rPr>
                <w:rFonts w:ascii="Times New Roman" w:hAnsi="Times New Roman" w:cs="Times New Roman"/>
                <w:sz w:val="26"/>
                <w:szCs w:val="26"/>
              </w:rPr>
              <w:t>otorgados por la misma entidad a</w:t>
            </w:r>
            <w:r w:rsidRPr="00B175E4">
              <w:rPr>
                <w:rFonts w:ascii="Times New Roman" w:hAnsi="Times New Roman" w:cs="Times New Roman"/>
                <w:sz w:val="26"/>
                <w:szCs w:val="26"/>
              </w:rPr>
              <w:t xml:space="preserve"> un mismo acreditado, así como los elementos tomados en cuenta para evidenciar el pago sostenido;</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monto total </w:t>
            </w:r>
            <w:r>
              <w:rPr>
                <w:rFonts w:ascii="Times New Roman" w:hAnsi="Times New Roman" w:cs="Times New Roman"/>
                <w:sz w:val="26"/>
                <w:szCs w:val="26"/>
              </w:rPr>
              <w:t xml:space="preserve">acumulado de lo </w:t>
            </w:r>
            <w:r w:rsidRPr="002D578A">
              <w:rPr>
                <w:rFonts w:ascii="Times New Roman" w:hAnsi="Times New Roman" w:cs="Times New Roman"/>
                <w:sz w:val="26"/>
                <w:szCs w:val="26"/>
              </w:rPr>
              <w:t xml:space="preserve">reestructurado o renovado por tipo de crédito </w:t>
            </w:r>
            <w:r w:rsidRPr="00D24A06">
              <w:rPr>
                <w:rFonts w:ascii="Times New Roman" w:hAnsi="Times New Roman" w:cs="Times New Roman"/>
                <w:sz w:val="26"/>
                <w:szCs w:val="26"/>
              </w:rPr>
              <w:t>(actividad empresarial o comercial, préstamos de liquidez a otras sociedades financieras populares o comunitarias, de consumo, y media o residencial y de interés social,</w:t>
            </w:r>
            <w:r>
              <w:rPr>
                <w:rFonts w:ascii="Times New Roman" w:hAnsi="Times New Roman" w:cs="Times New Roman"/>
                <w:sz w:val="26"/>
                <w:szCs w:val="26"/>
              </w:rPr>
              <w:t xml:space="preserve"> distinguiendo aquellas originadas en el ejercicio</w:t>
            </w:r>
            <w:r w:rsidRPr="002D578A">
              <w:rPr>
                <w:rFonts w:ascii="Times New Roman" w:hAnsi="Times New Roman" w:cs="Times New Roman"/>
                <w:sz w:val="26"/>
                <w:szCs w:val="26"/>
              </w:rPr>
              <w:t>). Cada uno de estos montos se deberá desglosar</w:t>
            </w:r>
            <w:r>
              <w:rPr>
                <w:rFonts w:ascii="Times New Roman" w:hAnsi="Times New Roman" w:cs="Times New Roman"/>
                <w:sz w:val="26"/>
                <w:szCs w:val="26"/>
              </w:rPr>
              <w:t xml:space="preserve"> en</w:t>
            </w:r>
            <w:r w:rsidRPr="002D578A">
              <w:rPr>
                <w:rFonts w:ascii="Times New Roman" w:hAnsi="Times New Roman" w:cs="Times New Roman"/>
                <w:sz w:val="26"/>
                <w:szCs w:val="26"/>
              </w:rPr>
              <w:t>:</w:t>
            </w:r>
          </w:p>
          <w:p w:rsidR="00883C34" w:rsidRPr="002D578A" w:rsidRDefault="00883C34" w:rsidP="00D24A06">
            <w:pPr>
              <w:pStyle w:val="Texto"/>
              <w:numPr>
                <w:ilvl w:val="1"/>
                <w:numId w:val="132"/>
              </w:numPr>
              <w:spacing w:after="0" w:line="240" w:lineRule="auto"/>
              <w:ind w:left="1207" w:hanging="284"/>
              <w:contextualSpacing/>
              <w:rPr>
                <w:rFonts w:ascii="Times New Roman" w:hAnsi="Times New Roman" w:cs="Times New Roman"/>
                <w:sz w:val="26"/>
                <w:szCs w:val="26"/>
              </w:rPr>
            </w:pPr>
            <w:r w:rsidRPr="002D578A">
              <w:rPr>
                <w:rFonts w:ascii="Times New Roman" w:hAnsi="Times New Roman" w:cs="Times New Roman"/>
                <w:sz w:val="26"/>
                <w:szCs w:val="26"/>
              </w:rPr>
              <w:t>créditos vencidos que fueron reestructurados o renovados;</w:t>
            </w:r>
          </w:p>
          <w:p w:rsidR="00883C34" w:rsidRPr="00D24A06" w:rsidRDefault="00883C34" w:rsidP="00D24A06">
            <w:pPr>
              <w:pStyle w:val="Texto"/>
              <w:numPr>
                <w:ilvl w:val="1"/>
                <w:numId w:val="132"/>
              </w:numPr>
              <w:spacing w:after="0" w:line="240" w:lineRule="auto"/>
              <w:ind w:left="1207" w:hanging="284"/>
              <w:contextualSpacing/>
              <w:rPr>
                <w:rFonts w:ascii="Times New Roman" w:hAnsi="Times New Roman" w:cs="Times New Roman"/>
                <w:sz w:val="26"/>
                <w:szCs w:val="26"/>
              </w:rPr>
            </w:pPr>
            <w:r w:rsidRPr="00D24A06">
              <w:rPr>
                <w:rFonts w:ascii="Times New Roman" w:hAnsi="Times New Roman" w:cs="Times New Roman"/>
                <w:sz w:val="26"/>
                <w:szCs w:val="26"/>
              </w:rPr>
              <w:t xml:space="preserve">reestructuraciones o renovaciones que fueron traspasadas a cartera vencida por haberse reestructurado o renovado, en apego al párrafo </w:t>
            </w:r>
            <w:r>
              <w:rPr>
                <w:rFonts w:ascii="Times New Roman" w:hAnsi="Times New Roman" w:cs="Times New Roman"/>
                <w:sz w:val="26"/>
                <w:szCs w:val="26"/>
              </w:rPr>
              <w:t>64</w:t>
            </w:r>
            <w:r w:rsidRPr="00D24A06">
              <w:rPr>
                <w:rFonts w:ascii="Times New Roman" w:hAnsi="Times New Roman" w:cs="Times New Roman"/>
                <w:sz w:val="26"/>
                <w:szCs w:val="26"/>
              </w:rPr>
              <w:t>;</w:t>
            </w:r>
          </w:p>
          <w:p w:rsidR="00883C34" w:rsidRDefault="00883C34" w:rsidP="00D24A06">
            <w:pPr>
              <w:pStyle w:val="Texto"/>
              <w:numPr>
                <w:ilvl w:val="1"/>
                <w:numId w:val="132"/>
              </w:numPr>
              <w:spacing w:after="0" w:line="240" w:lineRule="auto"/>
              <w:ind w:left="1207" w:hanging="284"/>
              <w:contextualSpacing/>
              <w:rPr>
                <w:rFonts w:ascii="Times New Roman" w:hAnsi="Times New Roman" w:cs="Times New Roman"/>
                <w:sz w:val="26"/>
                <w:szCs w:val="26"/>
              </w:rPr>
            </w:pPr>
            <w:r w:rsidRPr="00D24A06">
              <w:rPr>
                <w:rFonts w:ascii="Times New Roman" w:hAnsi="Times New Roman" w:cs="Times New Roman"/>
                <w:sz w:val="26"/>
                <w:szCs w:val="26"/>
              </w:rPr>
              <w:t xml:space="preserve">créditos reestructurados o renovados que se mantuvieron en cartera vigente conforme a los párrafos </w:t>
            </w:r>
            <w:r>
              <w:rPr>
                <w:rFonts w:ascii="Times New Roman" w:hAnsi="Times New Roman" w:cs="Times New Roman"/>
                <w:sz w:val="26"/>
                <w:szCs w:val="26"/>
              </w:rPr>
              <w:t>65</w:t>
            </w:r>
            <w:r w:rsidRPr="002D578A">
              <w:rPr>
                <w:rFonts w:ascii="Times New Roman" w:hAnsi="Times New Roman" w:cs="Times New Roman"/>
                <w:sz w:val="26"/>
                <w:szCs w:val="26"/>
              </w:rPr>
              <w:t xml:space="preserve"> al </w:t>
            </w:r>
            <w:r>
              <w:rPr>
                <w:rFonts w:ascii="Times New Roman" w:hAnsi="Times New Roman" w:cs="Times New Roman"/>
                <w:sz w:val="26"/>
                <w:szCs w:val="26"/>
              </w:rPr>
              <w:t>71;</w:t>
            </w:r>
          </w:p>
          <w:p w:rsidR="00883C34" w:rsidRPr="00D24A06" w:rsidRDefault="00883C34" w:rsidP="00D24A06">
            <w:pPr>
              <w:pStyle w:val="Texto"/>
              <w:numPr>
                <w:ilvl w:val="1"/>
                <w:numId w:val="132"/>
              </w:numPr>
              <w:spacing w:after="0" w:line="240" w:lineRule="auto"/>
              <w:ind w:left="1207" w:hanging="284"/>
              <w:contextualSpacing/>
              <w:rPr>
                <w:rFonts w:ascii="Times New Roman" w:hAnsi="Times New Roman" w:cs="Times New Roman"/>
                <w:sz w:val="26"/>
                <w:szCs w:val="26"/>
              </w:rPr>
            </w:pPr>
            <w:r>
              <w:rPr>
                <w:rFonts w:ascii="Times New Roman" w:hAnsi="Times New Roman" w:cs="Times New Roman"/>
                <w:sz w:val="26"/>
                <w:szCs w:val="26"/>
              </w:rPr>
              <w:t>créditos consolidados que como producto de una reestructuración o renovación fueron traspasados a cartera vencida, conforme al párrafo 72</w:t>
            </w:r>
            <w:r w:rsidRPr="00D24A06">
              <w:rPr>
                <w:rFonts w:ascii="Times New Roman" w:hAnsi="Times New Roman" w:cs="Times New Roman"/>
                <w:sz w:val="26"/>
                <w:szCs w:val="26"/>
              </w:rPr>
              <w:t>, y</w:t>
            </w:r>
          </w:p>
          <w:p w:rsidR="00883C34" w:rsidRPr="002D578A" w:rsidRDefault="00883C34" w:rsidP="00D24A06">
            <w:pPr>
              <w:pStyle w:val="Texto"/>
              <w:numPr>
                <w:ilvl w:val="1"/>
                <w:numId w:val="132"/>
              </w:numPr>
              <w:spacing w:after="0" w:line="240" w:lineRule="auto"/>
              <w:ind w:left="1207" w:hanging="284"/>
              <w:contextualSpacing/>
              <w:rPr>
                <w:rFonts w:ascii="Times New Roman" w:hAnsi="Times New Roman" w:cs="Times New Roman"/>
                <w:sz w:val="26"/>
                <w:szCs w:val="26"/>
              </w:rPr>
            </w:pPr>
            <w:r w:rsidRPr="00D24A06">
              <w:rPr>
                <w:rFonts w:ascii="Times New Roman" w:hAnsi="Times New Roman" w:cs="Times New Roman"/>
                <w:sz w:val="26"/>
                <w:szCs w:val="26"/>
              </w:rPr>
              <w:t xml:space="preserve">créditos </w:t>
            </w:r>
            <w:r>
              <w:rPr>
                <w:rFonts w:ascii="Times New Roman" w:hAnsi="Times New Roman" w:cs="Times New Roman"/>
                <w:sz w:val="26"/>
                <w:szCs w:val="26"/>
              </w:rPr>
              <w:t>reestructur</w:t>
            </w:r>
            <w:r w:rsidRPr="00D24A06">
              <w:rPr>
                <w:rFonts w:ascii="Times New Roman" w:hAnsi="Times New Roman" w:cs="Times New Roman"/>
                <w:sz w:val="26"/>
                <w:szCs w:val="26"/>
              </w:rPr>
              <w:t xml:space="preserve">ados </w:t>
            </w:r>
            <w:r>
              <w:rPr>
                <w:rFonts w:ascii="Times New Roman" w:hAnsi="Times New Roman" w:cs="Times New Roman"/>
                <w:sz w:val="26"/>
                <w:szCs w:val="26"/>
              </w:rPr>
              <w:t xml:space="preserve">a los </w:t>
            </w:r>
            <w:r w:rsidRPr="00D24A06">
              <w:rPr>
                <w:rFonts w:ascii="Times New Roman" w:hAnsi="Times New Roman" w:cs="Times New Roman"/>
                <w:sz w:val="26"/>
                <w:szCs w:val="26"/>
              </w:rPr>
              <w:t xml:space="preserve">que no se </w:t>
            </w:r>
            <w:r>
              <w:rPr>
                <w:rFonts w:ascii="Times New Roman" w:hAnsi="Times New Roman" w:cs="Times New Roman"/>
                <w:sz w:val="26"/>
                <w:szCs w:val="26"/>
              </w:rPr>
              <w:t>aplic</w:t>
            </w:r>
            <w:r w:rsidRPr="00D24A06">
              <w:rPr>
                <w:rFonts w:ascii="Times New Roman" w:hAnsi="Times New Roman" w:cs="Times New Roman"/>
                <w:sz w:val="26"/>
                <w:szCs w:val="26"/>
              </w:rPr>
              <w:t xml:space="preserve">aron </w:t>
            </w:r>
            <w:r>
              <w:rPr>
                <w:rFonts w:ascii="Times New Roman" w:hAnsi="Times New Roman" w:cs="Times New Roman"/>
                <w:sz w:val="26"/>
                <w:szCs w:val="26"/>
              </w:rPr>
              <w:t>los criterios relativos al traspaso a cartera vencida</w:t>
            </w:r>
            <w:r w:rsidRPr="00D24A06">
              <w:rPr>
                <w:rFonts w:ascii="Times New Roman" w:hAnsi="Times New Roman" w:cs="Times New Roman"/>
                <w:sz w:val="26"/>
                <w:szCs w:val="26"/>
              </w:rPr>
              <w:t xml:space="preserve"> con base en el párrafo </w:t>
            </w:r>
            <w:r>
              <w:rPr>
                <w:rFonts w:ascii="Times New Roman" w:hAnsi="Times New Roman" w:cs="Times New Roman"/>
                <w:sz w:val="26"/>
                <w:szCs w:val="26"/>
              </w:rPr>
              <w:t>73</w:t>
            </w:r>
            <w:r w:rsidRPr="00D24A06">
              <w:rPr>
                <w:rFonts w:ascii="Times New Roman" w:hAnsi="Times New Roman" w:cs="Times New Roman"/>
                <w:sz w:val="26"/>
                <w:szCs w:val="26"/>
              </w:rPr>
              <w:t>.</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monto y naturaleza de las garantías adicionales y concesiones otorgadas en los créditos reestructurados;</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monto total de las cesiones de cartera de crédito que haya realizado la entidad;</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monto de las recuperaciones de cartera de crédito previamente castigada o eliminada; </w:t>
            </w:r>
          </w:p>
          <w:p w:rsidR="00883C34" w:rsidRPr="00D24A06"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desglose de los intereses y comisiones por tipo de crédito </w:t>
            </w:r>
            <w:r w:rsidRPr="00D24A06">
              <w:rPr>
                <w:rFonts w:ascii="Times New Roman" w:hAnsi="Times New Roman" w:cs="Times New Roman"/>
                <w:sz w:val="26"/>
                <w:szCs w:val="26"/>
              </w:rPr>
              <w:t>(actividad empresarial o comercial, préstamos de liquidez a otras sociedades financieras populares o comunitarias, de consumo, y media o residencial y de interés social y a la vivienda);</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monto de los ingresos por intereses que se reconocieron en el crédito de que </w:t>
            </w:r>
            <w:r w:rsidRPr="002D578A">
              <w:rPr>
                <w:rFonts w:ascii="Times New Roman" w:hAnsi="Times New Roman" w:cs="Times New Roman"/>
                <w:sz w:val="26"/>
                <w:szCs w:val="26"/>
              </w:rPr>
              <w:lastRenderedPageBreak/>
              <w:t xml:space="preserve">se trate, al momento de la capitalización a que hace referencia el párrafo </w:t>
            </w:r>
            <w:r>
              <w:rPr>
                <w:rFonts w:ascii="Times New Roman" w:hAnsi="Times New Roman" w:cs="Times New Roman"/>
                <w:sz w:val="26"/>
                <w:szCs w:val="26"/>
              </w:rPr>
              <w:t>78</w:t>
            </w:r>
            <w:r w:rsidRPr="002D578A">
              <w:rPr>
                <w:rFonts w:ascii="Times New Roman" w:hAnsi="Times New Roman" w:cs="Times New Roman"/>
                <w:sz w:val="26"/>
                <w:szCs w:val="26"/>
              </w:rPr>
              <w:t>;</w:t>
            </w:r>
          </w:p>
          <w:p w:rsidR="00883C34" w:rsidRPr="002D578A" w:rsidRDefault="00883C34" w:rsidP="00B611D7">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monto de las líneas de crédito registradas en cuentas de orden, y</w:t>
            </w:r>
          </w:p>
          <w:p w:rsidR="00883C34" w:rsidRPr="002D578A" w:rsidRDefault="00883C34" w:rsidP="00B175E4">
            <w:pPr>
              <w:pStyle w:val="Texto"/>
              <w:numPr>
                <w:ilvl w:val="1"/>
                <w:numId w:val="87"/>
              </w:numPr>
              <w:spacing w:after="0" w:line="240" w:lineRule="auto"/>
              <w:ind w:left="709" w:hanging="567"/>
              <w:contextualSpacing/>
              <w:rPr>
                <w:rFonts w:ascii="Times New Roman" w:hAnsi="Times New Roman" w:cs="Times New Roman"/>
                <w:sz w:val="26"/>
                <w:szCs w:val="26"/>
              </w:rPr>
            </w:pPr>
            <w:r w:rsidRPr="002D578A">
              <w:rPr>
                <w:rFonts w:ascii="Times New Roman" w:hAnsi="Times New Roman" w:cs="Times New Roman"/>
                <w:sz w:val="26"/>
                <w:szCs w:val="26"/>
              </w:rPr>
              <w:t xml:space="preserve">breve descripción de los efectos en la cartera de crédito derivados de la aplicación de las diferentes </w:t>
            </w:r>
            <w:r w:rsidRPr="00956DD3">
              <w:rPr>
                <w:rFonts w:ascii="Times New Roman" w:hAnsi="Times New Roman" w:cs="Times New Roman"/>
                <w:sz w:val="26"/>
                <w:szCs w:val="26"/>
              </w:rPr>
              <w:t>metodologías establecidas mediante disposiciones de carácter general por la CNBV para cada tipo de crédito, así como las estimaciones adicionales requeridas en diversas reglamentaciones y las ordenadas por la CNBV</w:t>
            </w:r>
            <w:r w:rsidRPr="002D578A">
              <w:rPr>
                <w:rFonts w:ascii="Times New Roman" w:hAnsi="Times New Roman" w:cs="Times New Roman"/>
                <w:sz w:val="26"/>
                <w:szCs w:val="26"/>
              </w:rPr>
              <w:t xml:space="preserve">. </w:t>
            </w:r>
          </w:p>
        </w:tc>
        <w:tc>
          <w:tcPr>
            <w:tcW w:w="851" w:type="dxa"/>
          </w:tcPr>
          <w:p w:rsidR="00883C34" w:rsidRPr="00883C34" w:rsidRDefault="00883C34" w:rsidP="00883C34">
            <w:pPr>
              <w:pStyle w:val="Texto"/>
              <w:numPr>
                <w:ilvl w:val="0"/>
                <w:numId w:val="137"/>
              </w:numPr>
              <w:spacing w:after="0" w:line="240" w:lineRule="auto"/>
              <w:contextualSpacing/>
              <w:jc w:val="right"/>
              <w:rPr>
                <w:rFonts w:ascii="Times New Roman" w:hAnsi="Times New Roman" w:cs="Times New Roman"/>
                <w:sz w:val="20"/>
              </w:rPr>
            </w:pPr>
          </w:p>
        </w:tc>
      </w:tr>
    </w:tbl>
    <w:p w:rsidR="007D6C88" w:rsidRPr="00B611D7" w:rsidRDefault="007D6C88" w:rsidP="00B611D7">
      <w:pPr>
        <w:pStyle w:val="Texto"/>
        <w:spacing w:after="0" w:line="240" w:lineRule="auto"/>
        <w:ind w:left="709" w:hanging="567"/>
        <w:contextualSpacing/>
        <w:rPr>
          <w:rFonts w:ascii="Times New Roman" w:hAnsi="Times New Roman" w:cs="Times New Roman"/>
          <w:sz w:val="26"/>
          <w:szCs w:val="26"/>
        </w:rPr>
      </w:pPr>
    </w:p>
    <w:sectPr w:rsidR="007D6C88" w:rsidRPr="00B611D7" w:rsidSect="00127D76">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B22" w:rsidRDefault="007F1B22">
      <w:r>
        <w:separator/>
      </w:r>
    </w:p>
  </w:endnote>
  <w:endnote w:type="continuationSeparator" w:id="0">
    <w:p w:rsidR="007F1B22" w:rsidRDefault="007F1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B22" w:rsidRDefault="007F1B22">
      <w:r>
        <w:separator/>
      </w:r>
    </w:p>
  </w:footnote>
  <w:footnote w:type="continuationSeparator" w:id="0">
    <w:p w:rsidR="007F1B22" w:rsidRDefault="007F1B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B8487C"/>
    <w:multiLevelType w:val="hybridMultilevel"/>
    <w:tmpl w:val="5DE223F0"/>
    <w:lvl w:ilvl="0" w:tplc="4998B88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50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90D5FD8"/>
    <w:multiLevelType w:val="hybridMultilevel"/>
    <w:tmpl w:val="38C8CC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0A07749"/>
    <w:multiLevelType w:val="hybridMultilevel"/>
    <w:tmpl w:val="FEEE90B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2">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4">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191B5040"/>
    <w:multiLevelType w:val="hybridMultilevel"/>
    <w:tmpl w:val="CA90A5CC"/>
    <w:lvl w:ilvl="0" w:tplc="04090017">
      <w:start w:val="1"/>
      <w:numFmt w:val="lowerLetter"/>
      <w:lvlText w:val="%1)"/>
      <w:lvlJc w:val="left"/>
      <w:pPr>
        <w:ind w:left="765" w:hanging="360"/>
      </w:pPr>
    </w:lvl>
    <w:lvl w:ilvl="1" w:tplc="04090017">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1">
    <w:nsid w:val="19BF5893"/>
    <w:multiLevelType w:val="hybridMultilevel"/>
    <w:tmpl w:val="A0C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5">
    <w:nsid w:val="1A817FD1"/>
    <w:multiLevelType w:val="hybridMultilevel"/>
    <w:tmpl w:val="9EDA81E8"/>
    <w:lvl w:ilvl="0" w:tplc="04090017">
      <w:start w:val="1"/>
      <w:numFmt w:val="lowerLetter"/>
      <w:lvlText w:val="%1)"/>
      <w:lvlJc w:val="left"/>
      <w:pPr>
        <w:ind w:left="1440" w:hanging="360"/>
      </w:pPr>
    </w:lvl>
    <w:lvl w:ilvl="1" w:tplc="4BC8C0D0">
      <w:start w:val="1"/>
      <w:numFmt w:val="lowerRoman"/>
      <w:lvlText w:val="%2."/>
      <w:lvlJc w:val="right"/>
      <w:pPr>
        <w:ind w:left="501"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nsid w:val="1EFD199F"/>
    <w:multiLevelType w:val="hybridMultilevel"/>
    <w:tmpl w:val="19FA09B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4">
    <w:nsid w:val="23327E65"/>
    <w:multiLevelType w:val="hybridMultilevel"/>
    <w:tmpl w:val="F6C47DD4"/>
    <w:lvl w:ilvl="0" w:tplc="9384BBF2">
      <w:start w:val="1"/>
      <w:numFmt w:val="decimal"/>
      <w:lvlText w:val="%1"/>
      <w:lvlJc w:val="left"/>
      <w:pPr>
        <w:ind w:left="720" w:hanging="360"/>
      </w:pPr>
      <w:rPr>
        <w:rFonts w:hint="default"/>
        <w:sz w:val="20"/>
        <w:szCs w:val="20"/>
      </w:rPr>
    </w:lvl>
    <w:lvl w:ilvl="1" w:tplc="35AC6A02">
      <w:start w:val="1"/>
      <w:numFmt w:val="lowerLetter"/>
      <w:lvlText w:val="%2)"/>
      <w:lvlJc w:val="left"/>
      <w:pPr>
        <w:ind w:left="1440" w:hanging="360"/>
      </w:pPr>
      <w:rPr>
        <w:rFonts w:hint="default"/>
      </w:rPr>
    </w:lvl>
    <w:lvl w:ilvl="2" w:tplc="90FA482E">
      <w:start w:val="1"/>
      <w:numFmt w:val="decimal"/>
      <w:lvlText w:val="%3."/>
      <w:lvlJc w:val="left"/>
      <w:pPr>
        <w:ind w:left="2340" w:hanging="360"/>
      </w:pPr>
      <w:rPr>
        <w:rFonts w:hint="default"/>
        <w:sz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6">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7">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8">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0">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6">
    <w:nsid w:val="2DBE7DDD"/>
    <w:multiLevelType w:val="hybridMultilevel"/>
    <w:tmpl w:val="CFD6DCFC"/>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57">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8">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60">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FC30362"/>
    <w:multiLevelType w:val="hybridMultilevel"/>
    <w:tmpl w:val="C6BA5866"/>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2">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6">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9">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0">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D011071"/>
    <w:multiLevelType w:val="hybridMultilevel"/>
    <w:tmpl w:val="FB020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4">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5">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6">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7">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78">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1">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3">
    <w:nsid w:val="47001D49"/>
    <w:multiLevelType w:val="hybridMultilevel"/>
    <w:tmpl w:val="68C0FC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86">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8">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9">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0">
    <w:nsid w:val="4A5F736B"/>
    <w:multiLevelType w:val="hybridMultilevel"/>
    <w:tmpl w:val="184A3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2">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4">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5">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100">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2">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3">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4">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6">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7">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8">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9">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0">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5C926E5"/>
    <w:multiLevelType w:val="hybridMultilevel"/>
    <w:tmpl w:val="B9848E78"/>
    <w:lvl w:ilvl="0" w:tplc="EF042A38">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15">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7">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9FB01E8"/>
    <w:multiLevelType w:val="hybridMultilevel"/>
    <w:tmpl w:val="7B96CB3A"/>
    <w:lvl w:ilvl="0" w:tplc="04090017">
      <w:start w:val="1"/>
      <w:numFmt w:val="lowerLetter"/>
      <w:lvlText w:val="%1)"/>
      <w:lvlJc w:val="left"/>
      <w:pPr>
        <w:ind w:left="765" w:hanging="360"/>
      </w:pPr>
    </w:lvl>
    <w:lvl w:ilvl="1" w:tplc="4BC8C0D0">
      <w:start w:val="1"/>
      <w:numFmt w:val="lowerRoman"/>
      <w:lvlText w:val="%2."/>
      <w:lvlJc w:val="right"/>
      <w:pPr>
        <w:ind w:left="1485" w:hanging="360"/>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9">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0">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3">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26">
    <w:nsid w:val="719646B2"/>
    <w:multiLevelType w:val="hybridMultilevel"/>
    <w:tmpl w:val="9B4EAEB0"/>
    <w:lvl w:ilvl="0" w:tplc="04090017">
      <w:start w:val="1"/>
      <w:numFmt w:val="lowerLetter"/>
      <w:lvlText w:val="%1)"/>
      <w:lvlJc w:val="left"/>
      <w:pPr>
        <w:ind w:left="234" w:hanging="360"/>
      </w:pPr>
    </w:lvl>
    <w:lvl w:ilvl="1" w:tplc="04090017">
      <w:start w:val="1"/>
      <w:numFmt w:val="lowerLetter"/>
      <w:lvlText w:val="%2)"/>
      <w:lvlJc w:val="left"/>
      <w:pPr>
        <w:ind w:left="954" w:hanging="360"/>
      </w:pPr>
    </w:lvl>
    <w:lvl w:ilvl="2" w:tplc="0409001B" w:tentative="1">
      <w:start w:val="1"/>
      <w:numFmt w:val="lowerRoman"/>
      <w:lvlText w:val="%3."/>
      <w:lvlJc w:val="right"/>
      <w:pPr>
        <w:ind w:left="1674" w:hanging="180"/>
      </w:pPr>
    </w:lvl>
    <w:lvl w:ilvl="3" w:tplc="0409000F" w:tentative="1">
      <w:start w:val="1"/>
      <w:numFmt w:val="decimal"/>
      <w:lvlText w:val="%4."/>
      <w:lvlJc w:val="left"/>
      <w:pPr>
        <w:ind w:left="2394" w:hanging="360"/>
      </w:pPr>
    </w:lvl>
    <w:lvl w:ilvl="4" w:tplc="04090019" w:tentative="1">
      <w:start w:val="1"/>
      <w:numFmt w:val="lowerLetter"/>
      <w:lvlText w:val="%5."/>
      <w:lvlJc w:val="left"/>
      <w:pPr>
        <w:ind w:left="3114" w:hanging="360"/>
      </w:pPr>
    </w:lvl>
    <w:lvl w:ilvl="5" w:tplc="0409001B" w:tentative="1">
      <w:start w:val="1"/>
      <w:numFmt w:val="lowerRoman"/>
      <w:lvlText w:val="%6."/>
      <w:lvlJc w:val="right"/>
      <w:pPr>
        <w:ind w:left="3834" w:hanging="180"/>
      </w:pPr>
    </w:lvl>
    <w:lvl w:ilvl="6" w:tplc="0409000F" w:tentative="1">
      <w:start w:val="1"/>
      <w:numFmt w:val="decimal"/>
      <w:lvlText w:val="%7."/>
      <w:lvlJc w:val="left"/>
      <w:pPr>
        <w:ind w:left="4554" w:hanging="360"/>
      </w:pPr>
    </w:lvl>
    <w:lvl w:ilvl="7" w:tplc="04090019" w:tentative="1">
      <w:start w:val="1"/>
      <w:numFmt w:val="lowerLetter"/>
      <w:lvlText w:val="%8."/>
      <w:lvlJc w:val="left"/>
      <w:pPr>
        <w:ind w:left="5274" w:hanging="360"/>
      </w:pPr>
    </w:lvl>
    <w:lvl w:ilvl="8" w:tplc="0409001B" w:tentative="1">
      <w:start w:val="1"/>
      <w:numFmt w:val="lowerRoman"/>
      <w:lvlText w:val="%9."/>
      <w:lvlJc w:val="right"/>
      <w:pPr>
        <w:ind w:left="5994" w:hanging="180"/>
      </w:pPr>
    </w:lvl>
  </w:abstractNum>
  <w:abstractNum w:abstractNumId="127">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8">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30">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1">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4">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7D3F288A"/>
    <w:multiLevelType w:val="hybridMultilevel"/>
    <w:tmpl w:val="2376E82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52"/>
  </w:num>
  <w:num w:numId="2">
    <w:abstractNumId w:val="38"/>
  </w:num>
  <w:num w:numId="3">
    <w:abstractNumId w:val="76"/>
  </w:num>
  <w:num w:numId="4">
    <w:abstractNumId w:val="109"/>
  </w:num>
  <w:num w:numId="5">
    <w:abstractNumId w:val="108"/>
  </w:num>
  <w:num w:numId="6">
    <w:abstractNumId w:val="18"/>
  </w:num>
  <w:num w:numId="7">
    <w:abstractNumId w:val="98"/>
  </w:num>
  <w:num w:numId="8">
    <w:abstractNumId w:val="94"/>
  </w:num>
  <w:num w:numId="9">
    <w:abstractNumId w:val="1"/>
  </w:num>
  <w:num w:numId="10">
    <w:abstractNumId w:val="91"/>
  </w:num>
  <w:num w:numId="11">
    <w:abstractNumId w:val="21"/>
  </w:num>
  <w:num w:numId="12">
    <w:abstractNumId w:val="59"/>
  </w:num>
  <w:num w:numId="13">
    <w:abstractNumId w:val="47"/>
  </w:num>
  <w:num w:numId="14">
    <w:abstractNumId w:val="96"/>
  </w:num>
  <w:num w:numId="15">
    <w:abstractNumId w:val="112"/>
  </w:num>
  <w:num w:numId="16">
    <w:abstractNumId w:val="103"/>
  </w:num>
  <w:num w:numId="17">
    <w:abstractNumId w:val="37"/>
  </w:num>
  <w:num w:numId="18">
    <w:abstractNumId w:val="69"/>
  </w:num>
  <w:num w:numId="19">
    <w:abstractNumId w:val="11"/>
  </w:num>
  <w:num w:numId="20">
    <w:abstractNumId w:val="89"/>
  </w:num>
  <w:num w:numId="21">
    <w:abstractNumId w:val="87"/>
  </w:num>
  <w:num w:numId="22">
    <w:abstractNumId w:val="4"/>
  </w:num>
  <w:num w:numId="23">
    <w:abstractNumId w:val="49"/>
  </w:num>
  <w:num w:numId="24">
    <w:abstractNumId w:val="102"/>
  </w:num>
  <w:num w:numId="25">
    <w:abstractNumId w:val="57"/>
  </w:num>
  <w:num w:numId="26">
    <w:abstractNumId w:val="68"/>
  </w:num>
  <w:num w:numId="27">
    <w:abstractNumId w:val="8"/>
  </w:num>
  <w:num w:numId="28">
    <w:abstractNumId w:val="16"/>
  </w:num>
  <w:num w:numId="29">
    <w:abstractNumId w:val="129"/>
  </w:num>
  <w:num w:numId="30">
    <w:abstractNumId w:val="23"/>
  </w:num>
  <w:num w:numId="31">
    <w:abstractNumId w:val="45"/>
  </w:num>
  <w:num w:numId="32">
    <w:abstractNumId w:val="43"/>
  </w:num>
  <w:num w:numId="33">
    <w:abstractNumId w:val="136"/>
  </w:num>
  <w:num w:numId="34">
    <w:abstractNumId w:val="122"/>
  </w:num>
  <w:num w:numId="35">
    <w:abstractNumId w:val="80"/>
  </w:num>
  <w:num w:numId="36">
    <w:abstractNumId w:val="46"/>
  </w:num>
  <w:num w:numId="37">
    <w:abstractNumId w:val="119"/>
  </w:num>
  <w:num w:numId="38">
    <w:abstractNumId w:val="36"/>
  </w:num>
  <w:num w:numId="39">
    <w:abstractNumId w:val="93"/>
  </w:num>
  <w:num w:numId="40">
    <w:abstractNumId w:val="133"/>
  </w:num>
  <w:num w:numId="41">
    <w:abstractNumId w:val="116"/>
  </w:num>
  <w:num w:numId="42">
    <w:abstractNumId w:val="33"/>
  </w:num>
  <w:num w:numId="43">
    <w:abstractNumId w:val="13"/>
  </w:num>
  <w:num w:numId="44">
    <w:abstractNumId w:val="25"/>
  </w:num>
  <w:num w:numId="45">
    <w:abstractNumId w:val="134"/>
  </w:num>
  <w:num w:numId="46">
    <w:abstractNumId w:val="2"/>
  </w:num>
  <w:num w:numId="47">
    <w:abstractNumId w:val="53"/>
  </w:num>
  <w:num w:numId="48">
    <w:abstractNumId w:val="17"/>
  </w:num>
  <w:num w:numId="49">
    <w:abstractNumId w:val="12"/>
  </w:num>
  <w:num w:numId="50">
    <w:abstractNumId w:val="24"/>
  </w:num>
  <w:num w:numId="51">
    <w:abstractNumId w:val="131"/>
  </w:num>
  <w:num w:numId="52">
    <w:abstractNumId w:val="86"/>
  </w:num>
  <w:num w:numId="53">
    <w:abstractNumId w:val="104"/>
  </w:num>
  <w:num w:numId="54">
    <w:abstractNumId w:val="110"/>
  </w:num>
  <w:num w:numId="55">
    <w:abstractNumId w:val="92"/>
  </w:num>
  <w:num w:numId="56">
    <w:abstractNumId w:val="78"/>
  </w:num>
  <w:num w:numId="57">
    <w:abstractNumId w:val="79"/>
  </w:num>
  <w:num w:numId="58">
    <w:abstractNumId w:val="124"/>
  </w:num>
  <w:num w:numId="59">
    <w:abstractNumId w:val="114"/>
  </w:num>
  <w:num w:numId="60">
    <w:abstractNumId w:val="74"/>
  </w:num>
  <w:num w:numId="61">
    <w:abstractNumId w:val="15"/>
  </w:num>
  <w:num w:numId="62">
    <w:abstractNumId w:val="127"/>
  </w:num>
  <w:num w:numId="63">
    <w:abstractNumId w:val="82"/>
  </w:num>
  <w:num w:numId="64">
    <w:abstractNumId w:val="5"/>
  </w:num>
  <w:num w:numId="65">
    <w:abstractNumId w:val="73"/>
  </w:num>
  <w:num w:numId="66">
    <w:abstractNumId w:val="106"/>
  </w:num>
  <w:num w:numId="67">
    <w:abstractNumId w:val="7"/>
  </w:num>
  <w:num w:numId="68">
    <w:abstractNumId w:val="39"/>
  </w:num>
  <w:num w:numId="69">
    <w:abstractNumId w:val="42"/>
  </w:num>
  <w:num w:numId="70">
    <w:abstractNumId w:val="97"/>
  </w:num>
  <w:num w:numId="71">
    <w:abstractNumId w:val="66"/>
  </w:num>
  <w:num w:numId="72">
    <w:abstractNumId w:val="132"/>
  </w:num>
  <w:num w:numId="73">
    <w:abstractNumId w:val="62"/>
  </w:num>
  <w:num w:numId="74">
    <w:abstractNumId w:val="85"/>
  </w:num>
  <w:num w:numId="75">
    <w:abstractNumId w:val="65"/>
  </w:num>
  <w:num w:numId="76">
    <w:abstractNumId w:val="34"/>
  </w:num>
  <w:num w:numId="77">
    <w:abstractNumId w:val="77"/>
  </w:num>
  <w:num w:numId="78">
    <w:abstractNumId w:val="61"/>
  </w:num>
  <w:num w:numId="79">
    <w:abstractNumId w:val="63"/>
  </w:num>
  <w:num w:numId="80">
    <w:abstractNumId w:val="27"/>
  </w:num>
  <w:num w:numId="81">
    <w:abstractNumId w:val="19"/>
  </w:num>
  <w:num w:numId="82">
    <w:abstractNumId w:val="44"/>
  </w:num>
  <w:num w:numId="83">
    <w:abstractNumId w:val="54"/>
  </w:num>
  <w:num w:numId="84">
    <w:abstractNumId w:val="28"/>
  </w:num>
  <w:num w:numId="85">
    <w:abstractNumId w:val="135"/>
  </w:num>
  <w:num w:numId="86">
    <w:abstractNumId w:val="70"/>
  </w:num>
  <w:num w:numId="87">
    <w:abstractNumId w:val="9"/>
  </w:num>
  <w:num w:numId="88">
    <w:abstractNumId w:val="113"/>
  </w:num>
  <w:num w:numId="89">
    <w:abstractNumId w:val="120"/>
  </w:num>
  <w:num w:numId="90">
    <w:abstractNumId w:val="130"/>
  </w:num>
  <w:num w:numId="91">
    <w:abstractNumId w:val="26"/>
  </w:num>
  <w:num w:numId="92">
    <w:abstractNumId w:val="22"/>
  </w:num>
  <w:num w:numId="93">
    <w:abstractNumId w:val="0"/>
  </w:num>
  <w:num w:numId="94">
    <w:abstractNumId w:val="32"/>
  </w:num>
  <w:num w:numId="95">
    <w:abstractNumId w:val="121"/>
  </w:num>
  <w:num w:numId="96">
    <w:abstractNumId w:val="117"/>
  </w:num>
  <w:num w:numId="97">
    <w:abstractNumId w:val="71"/>
  </w:num>
  <w:num w:numId="98">
    <w:abstractNumId w:val="60"/>
  </w:num>
  <w:num w:numId="99">
    <w:abstractNumId w:val="101"/>
  </w:num>
  <w:num w:numId="100">
    <w:abstractNumId w:val="75"/>
  </w:num>
  <w:num w:numId="101">
    <w:abstractNumId w:val="95"/>
  </w:num>
  <w:num w:numId="102">
    <w:abstractNumId w:val="48"/>
  </w:num>
  <w:num w:numId="103">
    <w:abstractNumId w:val="88"/>
  </w:num>
  <w:num w:numId="104">
    <w:abstractNumId w:val="115"/>
  </w:num>
  <w:num w:numId="105">
    <w:abstractNumId w:val="6"/>
  </w:num>
  <w:num w:numId="106">
    <w:abstractNumId w:val="14"/>
  </w:num>
  <w:num w:numId="107">
    <w:abstractNumId w:val="29"/>
  </w:num>
  <w:num w:numId="108">
    <w:abstractNumId w:val="58"/>
  </w:num>
  <w:num w:numId="109">
    <w:abstractNumId w:val="123"/>
  </w:num>
  <w:num w:numId="110">
    <w:abstractNumId w:val="100"/>
  </w:num>
  <w:num w:numId="111">
    <w:abstractNumId w:val="67"/>
  </w:num>
  <w:num w:numId="112">
    <w:abstractNumId w:val="81"/>
  </w:num>
  <w:num w:numId="113">
    <w:abstractNumId w:val="41"/>
  </w:num>
  <w:num w:numId="114">
    <w:abstractNumId w:val="50"/>
  </w:num>
  <w:num w:numId="115">
    <w:abstractNumId w:val="128"/>
  </w:num>
  <w:num w:numId="116">
    <w:abstractNumId w:val="84"/>
  </w:num>
  <w:num w:numId="117">
    <w:abstractNumId w:val="51"/>
  </w:num>
  <w:num w:numId="118">
    <w:abstractNumId w:val="64"/>
  </w:num>
  <w:num w:numId="119">
    <w:abstractNumId w:val="105"/>
  </w:num>
  <w:num w:numId="120">
    <w:abstractNumId w:val="107"/>
  </w:num>
  <w:num w:numId="121">
    <w:abstractNumId w:val="125"/>
  </w:num>
  <w:num w:numId="122">
    <w:abstractNumId w:val="99"/>
  </w:num>
  <w:num w:numId="123">
    <w:abstractNumId w:val="55"/>
  </w:num>
  <w:num w:numId="124">
    <w:abstractNumId w:val="126"/>
  </w:num>
  <w:num w:numId="125">
    <w:abstractNumId w:val="72"/>
  </w:num>
  <w:num w:numId="126">
    <w:abstractNumId w:val="3"/>
  </w:num>
  <w:num w:numId="127">
    <w:abstractNumId w:val="40"/>
  </w:num>
  <w:num w:numId="128">
    <w:abstractNumId w:val="10"/>
  </w:num>
  <w:num w:numId="129">
    <w:abstractNumId w:val="83"/>
  </w:num>
  <w:num w:numId="130">
    <w:abstractNumId w:val="31"/>
  </w:num>
  <w:num w:numId="131">
    <w:abstractNumId w:val="30"/>
  </w:num>
  <w:num w:numId="132">
    <w:abstractNumId w:val="35"/>
  </w:num>
  <w:num w:numId="133">
    <w:abstractNumId w:val="118"/>
  </w:num>
  <w:num w:numId="134">
    <w:abstractNumId w:val="56"/>
  </w:num>
  <w:num w:numId="135">
    <w:abstractNumId w:val="90"/>
  </w:num>
  <w:num w:numId="136">
    <w:abstractNumId w:val="20"/>
  </w:num>
  <w:num w:numId="137">
    <w:abstractNumId w:val="111"/>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02342"/>
    <w:rsid w:val="000052CC"/>
    <w:rsid w:val="000103AD"/>
    <w:rsid w:val="000105B5"/>
    <w:rsid w:val="0001644C"/>
    <w:rsid w:val="00021A0A"/>
    <w:rsid w:val="000249BC"/>
    <w:rsid w:val="00031F6B"/>
    <w:rsid w:val="0003543D"/>
    <w:rsid w:val="000435C9"/>
    <w:rsid w:val="00051217"/>
    <w:rsid w:val="00055D5E"/>
    <w:rsid w:val="00055DA3"/>
    <w:rsid w:val="00065C3A"/>
    <w:rsid w:val="00066B35"/>
    <w:rsid w:val="00070DE8"/>
    <w:rsid w:val="0007182B"/>
    <w:rsid w:val="00083A5D"/>
    <w:rsid w:val="00086158"/>
    <w:rsid w:val="000912A7"/>
    <w:rsid w:val="00092F6E"/>
    <w:rsid w:val="00097AA3"/>
    <w:rsid w:val="000A4B56"/>
    <w:rsid w:val="000B0196"/>
    <w:rsid w:val="000E0655"/>
    <w:rsid w:val="000F0069"/>
    <w:rsid w:val="000F08A2"/>
    <w:rsid w:val="000F0E72"/>
    <w:rsid w:val="0010454B"/>
    <w:rsid w:val="0010500F"/>
    <w:rsid w:val="0010663C"/>
    <w:rsid w:val="00106A4D"/>
    <w:rsid w:val="001101D3"/>
    <w:rsid w:val="00111ED5"/>
    <w:rsid w:val="00111F77"/>
    <w:rsid w:val="0011280A"/>
    <w:rsid w:val="00114C66"/>
    <w:rsid w:val="00116508"/>
    <w:rsid w:val="00121C23"/>
    <w:rsid w:val="00127D76"/>
    <w:rsid w:val="00136629"/>
    <w:rsid w:val="0014401D"/>
    <w:rsid w:val="00145B5A"/>
    <w:rsid w:val="001504E9"/>
    <w:rsid w:val="00154ECC"/>
    <w:rsid w:val="00160C58"/>
    <w:rsid w:val="00166606"/>
    <w:rsid w:val="001778DA"/>
    <w:rsid w:val="001871F6"/>
    <w:rsid w:val="001909CB"/>
    <w:rsid w:val="00192E36"/>
    <w:rsid w:val="001A0336"/>
    <w:rsid w:val="001A1EE6"/>
    <w:rsid w:val="001A2091"/>
    <w:rsid w:val="001B1FBA"/>
    <w:rsid w:val="001C243B"/>
    <w:rsid w:val="001C2636"/>
    <w:rsid w:val="001C2F88"/>
    <w:rsid w:val="001C79B0"/>
    <w:rsid w:val="001E3D9E"/>
    <w:rsid w:val="001E6566"/>
    <w:rsid w:val="001F3337"/>
    <w:rsid w:val="001F73DF"/>
    <w:rsid w:val="0020076E"/>
    <w:rsid w:val="00201475"/>
    <w:rsid w:val="00211245"/>
    <w:rsid w:val="002253E0"/>
    <w:rsid w:val="002329E5"/>
    <w:rsid w:val="002356AC"/>
    <w:rsid w:val="002379E3"/>
    <w:rsid w:val="00240B99"/>
    <w:rsid w:val="00247ADA"/>
    <w:rsid w:val="00251264"/>
    <w:rsid w:val="00251F6F"/>
    <w:rsid w:val="00261E27"/>
    <w:rsid w:val="0026673D"/>
    <w:rsid w:val="00277152"/>
    <w:rsid w:val="00283843"/>
    <w:rsid w:val="00293331"/>
    <w:rsid w:val="00295A93"/>
    <w:rsid w:val="002A20FD"/>
    <w:rsid w:val="002A403F"/>
    <w:rsid w:val="002C0FE6"/>
    <w:rsid w:val="002C5C49"/>
    <w:rsid w:val="002D0BBA"/>
    <w:rsid w:val="002D17D5"/>
    <w:rsid w:val="002D578A"/>
    <w:rsid w:val="002D60C4"/>
    <w:rsid w:val="002D60C5"/>
    <w:rsid w:val="002E19FF"/>
    <w:rsid w:val="002F574C"/>
    <w:rsid w:val="0030323A"/>
    <w:rsid w:val="00303FA4"/>
    <w:rsid w:val="00306697"/>
    <w:rsid w:val="003071CE"/>
    <w:rsid w:val="003078A5"/>
    <w:rsid w:val="003257CC"/>
    <w:rsid w:val="00335E09"/>
    <w:rsid w:val="0034742F"/>
    <w:rsid w:val="00353C00"/>
    <w:rsid w:val="003618A2"/>
    <w:rsid w:val="00361BF8"/>
    <w:rsid w:val="00364829"/>
    <w:rsid w:val="00366E6F"/>
    <w:rsid w:val="00370577"/>
    <w:rsid w:val="00373420"/>
    <w:rsid w:val="00374688"/>
    <w:rsid w:val="0037777D"/>
    <w:rsid w:val="0038110A"/>
    <w:rsid w:val="00381F84"/>
    <w:rsid w:val="00382C1C"/>
    <w:rsid w:val="003844D1"/>
    <w:rsid w:val="003A4659"/>
    <w:rsid w:val="003B4A46"/>
    <w:rsid w:val="003B6685"/>
    <w:rsid w:val="003C47FF"/>
    <w:rsid w:val="003C5827"/>
    <w:rsid w:val="003E1047"/>
    <w:rsid w:val="003E2FA9"/>
    <w:rsid w:val="003E7D1C"/>
    <w:rsid w:val="004010F3"/>
    <w:rsid w:val="0040111C"/>
    <w:rsid w:val="00401DF1"/>
    <w:rsid w:val="00404652"/>
    <w:rsid w:val="00405AF5"/>
    <w:rsid w:val="00412C1C"/>
    <w:rsid w:val="00414D51"/>
    <w:rsid w:val="00423F8F"/>
    <w:rsid w:val="00434266"/>
    <w:rsid w:val="00441C73"/>
    <w:rsid w:val="004539C7"/>
    <w:rsid w:val="004637D6"/>
    <w:rsid w:val="00473016"/>
    <w:rsid w:val="004762D8"/>
    <w:rsid w:val="00476E66"/>
    <w:rsid w:val="00483919"/>
    <w:rsid w:val="00491854"/>
    <w:rsid w:val="00494AF2"/>
    <w:rsid w:val="00494FC2"/>
    <w:rsid w:val="004A4232"/>
    <w:rsid w:val="004A65F1"/>
    <w:rsid w:val="004A6862"/>
    <w:rsid w:val="004B1EC4"/>
    <w:rsid w:val="004B558F"/>
    <w:rsid w:val="004D47F8"/>
    <w:rsid w:val="004D7B2A"/>
    <w:rsid w:val="004E3F7A"/>
    <w:rsid w:val="005014B0"/>
    <w:rsid w:val="00520F88"/>
    <w:rsid w:val="0052394F"/>
    <w:rsid w:val="00524709"/>
    <w:rsid w:val="00526E43"/>
    <w:rsid w:val="00533A18"/>
    <w:rsid w:val="00550ACE"/>
    <w:rsid w:val="0055589B"/>
    <w:rsid w:val="00561949"/>
    <w:rsid w:val="005628EB"/>
    <w:rsid w:val="00564C85"/>
    <w:rsid w:val="00572C63"/>
    <w:rsid w:val="00575C46"/>
    <w:rsid w:val="00586E9C"/>
    <w:rsid w:val="00590926"/>
    <w:rsid w:val="005921CC"/>
    <w:rsid w:val="00593F1A"/>
    <w:rsid w:val="00594FA2"/>
    <w:rsid w:val="00595CA2"/>
    <w:rsid w:val="005A19DA"/>
    <w:rsid w:val="005B677E"/>
    <w:rsid w:val="005B7917"/>
    <w:rsid w:val="005C12A2"/>
    <w:rsid w:val="005C3FE9"/>
    <w:rsid w:val="005D23DA"/>
    <w:rsid w:val="005D3D05"/>
    <w:rsid w:val="005D5399"/>
    <w:rsid w:val="005D5E1A"/>
    <w:rsid w:val="005D65BD"/>
    <w:rsid w:val="005E5CDA"/>
    <w:rsid w:val="005F0748"/>
    <w:rsid w:val="005F07AC"/>
    <w:rsid w:val="005F13E0"/>
    <w:rsid w:val="005F555A"/>
    <w:rsid w:val="005F64C8"/>
    <w:rsid w:val="00603874"/>
    <w:rsid w:val="0061030B"/>
    <w:rsid w:val="00612859"/>
    <w:rsid w:val="00613147"/>
    <w:rsid w:val="006210E1"/>
    <w:rsid w:val="0062460E"/>
    <w:rsid w:val="00633534"/>
    <w:rsid w:val="006367C8"/>
    <w:rsid w:val="00654C59"/>
    <w:rsid w:val="006566F8"/>
    <w:rsid w:val="00664591"/>
    <w:rsid w:val="006700E1"/>
    <w:rsid w:val="00671813"/>
    <w:rsid w:val="006729F9"/>
    <w:rsid w:val="0067585F"/>
    <w:rsid w:val="0067736D"/>
    <w:rsid w:val="00677A21"/>
    <w:rsid w:val="0068397A"/>
    <w:rsid w:val="00684DEA"/>
    <w:rsid w:val="00685496"/>
    <w:rsid w:val="00686394"/>
    <w:rsid w:val="00693DA8"/>
    <w:rsid w:val="00696592"/>
    <w:rsid w:val="00697DB7"/>
    <w:rsid w:val="006A110B"/>
    <w:rsid w:val="006A73D6"/>
    <w:rsid w:val="006B58BF"/>
    <w:rsid w:val="006C2B40"/>
    <w:rsid w:val="006D2BBA"/>
    <w:rsid w:val="006D4DA3"/>
    <w:rsid w:val="006E1396"/>
    <w:rsid w:val="006F4BBF"/>
    <w:rsid w:val="006F50C6"/>
    <w:rsid w:val="00702B9C"/>
    <w:rsid w:val="00707DAA"/>
    <w:rsid w:val="00714677"/>
    <w:rsid w:val="0072096E"/>
    <w:rsid w:val="00727A8C"/>
    <w:rsid w:val="007303D3"/>
    <w:rsid w:val="00731B9D"/>
    <w:rsid w:val="00732809"/>
    <w:rsid w:val="00743045"/>
    <w:rsid w:val="007608AF"/>
    <w:rsid w:val="00765CF3"/>
    <w:rsid w:val="007743E5"/>
    <w:rsid w:val="0078062D"/>
    <w:rsid w:val="00781B8C"/>
    <w:rsid w:val="00793E99"/>
    <w:rsid w:val="007A2C3A"/>
    <w:rsid w:val="007A6C9F"/>
    <w:rsid w:val="007B5A8E"/>
    <w:rsid w:val="007C3CA8"/>
    <w:rsid w:val="007D1954"/>
    <w:rsid w:val="007D2BF1"/>
    <w:rsid w:val="007D5A53"/>
    <w:rsid w:val="007D6C88"/>
    <w:rsid w:val="007E00C8"/>
    <w:rsid w:val="007E1879"/>
    <w:rsid w:val="007E3F7A"/>
    <w:rsid w:val="007F1B22"/>
    <w:rsid w:val="00806481"/>
    <w:rsid w:val="00812878"/>
    <w:rsid w:val="00814CA8"/>
    <w:rsid w:val="008247FA"/>
    <w:rsid w:val="00836BC9"/>
    <w:rsid w:val="00841C0C"/>
    <w:rsid w:val="00843E1F"/>
    <w:rsid w:val="00843E95"/>
    <w:rsid w:val="00844B20"/>
    <w:rsid w:val="00863D07"/>
    <w:rsid w:val="008656C0"/>
    <w:rsid w:val="00866D5B"/>
    <w:rsid w:val="0088047B"/>
    <w:rsid w:val="00880509"/>
    <w:rsid w:val="00883C34"/>
    <w:rsid w:val="00894056"/>
    <w:rsid w:val="008A28E5"/>
    <w:rsid w:val="008A597A"/>
    <w:rsid w:val="008A7D27"/>
    <w:rsid w:val="008B01D8"/>
    <w:rsid w:val="008B04F0"/>
    <w:rsid w:val="008C4E11"/>
    <w:rsid w:val="008D3886"/>
    <w:rsid w:val="008E0785"/>
    <w:rsid w:val="008E1C1C"/>
    <w:rsid w:val="008E471B"/>
    <w:rsid w:val="008E619F"/>
    <w:rsid w:val="00904546"/>
    <w:rsid w:val="009070F6"/>
    <w:rsid w:val="00914350"/>
    <w:rsid w:val="00916DA3"/>
    <w:rsid w:val="00920828"/>
    <w:rsid w:val="009300E3"/>
    <w:rsid w:val="00932991"/>
    <w:rsid w:val="00934E68"/>
    <w:rsid w:val="0093716A"/>
    <w:rsid w:val="00937B32"/>
    <w:rsid w:val="009405A9"/>
    <w:rsid w:val="00940821"/>
    <w:rsid w:val="009416DA"/>
    <w:rsid w:val="00943EF1"/>
    <w:rsid w:val="009477B8"/>
    <w:rsid w:val="009540CF"/>
    <w:rsid w:val="00956DD3"/>
    <w:rsid w:val="00963AC4"/>
    <w:rsid w:val="00972E45"/>
    <w:rsid w:val="00976056"/>
    <w:rsid w:val="00984FDD"/>
    <w:rsid w:val="00990A28"/>
    <w:rsid w:val="0099594E"/>
    <w:rsid w:val="00995BA0"/>
    <w:rsid w:val="00997033"/>
    <w:rsid w:val="009A1F29"/>
    <w:rsid w:val="009A4BD5"/>
    <w:rsid w:val="009A536D"/>
    <w:rsid w:val="009B567F"/>
    <w:rsid w:val="009B72C9"/>
    <w:rsid w:val="009C3201"/>
    <w:rsid w:val="009C6EF0"/>
    <w:rsid w:val="009D59A7"/>
    <w:rsid w:val="009E1993"/>
    <w:rsid w:val="009E6156"/>
    <w:rsid w:val="009E73AB"/>
    <w:rsid w:val="009F2D74"/>
    <w:rsid w:val="00A036AD"/>
    <w:rsid w:val="00A0449E"/>
    <w:rsid w:val="00A07FDF"/>
    <w:rsid w:val="00A21DAA"/>
    <w:rsid w:val="00A263DB"/>
    <w:rsid w:val="00A37299"/>
    <w:rsid w:val="00A428E0"/>
    <w:rsid w:val="00A54D16"/>
    <w:rsid w:val="00A54FF0"/>
    <w:rsid w:val="00A55508"/>
    <w:rsid w:val="00A561ED"/>
    <w:rsid w:val="00A65013"/>
    <w:rsid w:val="00A656EF"/>
    <w:rsid w:val="00A702CD"/>
    <w:rsid w:val="00A77C7E"/>
    <w:rsid w:val="00A80AAA"/>
    <w:rsid w:val="00A83243"/>
    <w:rsid w:val="00A86A69"/>
    <w:rsid w:val="00A87DD0"/>
    <w:rsid w:val="00A93060"/>
    <w:rsid w:val="00A94FEE"/>
    <w:rsid w:val="00AA1E1F"/>
    <w:rsid w:val="00AC0CE7"/>
    <w:rsid w:val="00AD2FD0"/>
    <w:rsid w:val="00AD65B3"/>
    <w:rsid w:val="00AE075D"/>
    <w:rsid w:val="00AE77B7"/>
    <w:rsid w:val="00AF20CA"/>
    <w:rsid w:val="00AF288D"/>
    <w:rsid w:val="00AF33F2"/>
    <w:rsid w:val="00B00A85"/>
    <w:rsid w:val="00B00AB5"/>
    <w:rsid w:val="00B05FFC"/>
    <w:rsid w:val="00B06DF7"/>
    <w:rsid w:val="00B11684"/>
    <w:rsid w:val="00B119EC"/>
    <w:rsid w:val="00B175E4"/>
    <w:rsid w:val="00B37466"/>
    <w:rsid w:val="00B41B20"/>
    <w:rsid w:val="00B432E3"/>
    <w:rsid w:val="00B43418"/>
    <w:rsid w:val="00B45D47"/>
    <w:rsid w:val="00B52160"/>
    <w:rsid w:val="00B54D77"/>
    <w:rsid w:val="00B611D7"/>
    <w:rsid w:val="00B70CF9"/>
    <w:rsid w:val="00B712CE"/>
    <w:rsid w:val="00B77D4F"/>
    <w:rsid w:val="00B849F6"/>
    <w:rsid w:val="00B85B04"/>
    <w:rsid w:val="00B85BC2"/>
    <w:rsid w:val="00B93E92"/>
    <w:rsid w:val="00BA0D8A"/>
    <w:rsid w:val="00BA13FB"/>
    <w:rsid w:val="00BC0559"/>
    <w:rsid w:val="00BC23A9"/>
    <w:rsid w:val="00BC446A"/>
    <w:rsid w:val="00BD3845"/>
    <w:rsid w:val="00BD4FC6"/>
    <w:rsid w:val="00BE1148"/>
    <w:rsid w:val="00BE379F"/>
    <w:rsid w:val="00BE4E84"/>
    <w:rsid w:val="00BF04C9"/>
    <w:rsid w:val="00BF4EF4"/>
    <w:rsid w:val="00C020D3"/>
    <w:rsid w:val="00C06C54"/>
    <w:rsid w:val="00C10ECD"/>
    <w:rsid w:val="00C2383F"/>
    <w:rsid w:val="00C26906"/>
    <w:rsid w:val="00C35AE7"/>
    <w:rsid w:val="00C5487D"/>
    <w:rsid w:val="00C55DAE"/>
    <w:rsid w:val="00C56EC2"/>
    <w:rsid w:val="00C71DB6"/>
    <w:rsid w:val="00C74026"/>
    <w:rsid w:val="00C969F4"/>
    <w:rsid w:val="00CB4815"/>
    <w:rsid w:val="00CB5021"/>
    <w:rsid w:val="00CD3C65"/>
    <w:rsid w:val="00CE07E5"/>
    <w:rsid w:val="00CE3F5A"/>
    <w:rsid w:val="00D04F1F"/>
    <w:rsid w:val="00D13635"/>
    <w:rsid w:val="00D165AF"/>
    <w:rsid w:val="00D20882"/>
    <w:rsid w:val="00D24A06"/>
    <w:rsid w:val="00D40ECB"/>
    <w:rsid w:val="00D63449"/>
    <w:rsid w:val="00D649E9"/>
    <w:rsid w:val="00D7246E"/>
    <w:rsid w:val="00D737AF"/>
    <w:rsid w:val="00D75B38"/>
    <w:rsid w:val="00D800F7"/>
    <w:rsid w:val="00D870A4"/>
    <w:rsid w:val="00D9101B"/>
    <w:rsid w:val="00DB0112"/>
    <w:rsid w:val="00DB2342"/>
    <w:rsid w:val="00DB682C"/>
    <w:rsid w:val="00DC4856"/>
    <w:rsid w:val="00DD6828"/>
    <w:rsid w:val="00DE0006"/>
    <w:rsid w:val="00DE0568"/>
    <w:rsid w:val="00DE6687"/>
    <w:rsid w:val="00DF620B"/>
    <w:rsid w:val="00E0042C"/>
    <w:rsid w:val="00E024CF"/>
    <w:rsid w:val="00E02C64"/>
    <w:rsid w:val="00E129D0"/>
    <w:rsid w:val="00E217AD"/>
    <w:rsid w:val="00E31737"/>
    <w:rsid w:val="00E374A6"/>
    <w:rsid w:val="00E517A2"/>
    <w:rsid w:val="00E54414"/>
    <w:rsid w:val="00E54AF7"/>
    <w:rsid w:val="00E5789C"/>
    <w:rsid w:val="00E62016"/>
    <w:rsid w:val="00E651DC"/>
    <w:rsid w:val="00E71971"/>
    <w:rsid w:val="00E82DFD"/>
    <w:rsid w:val="00E835E8"/>
    <w:rsid w:val="00E861B6"/>
    <w:rsid w:val="00E90310"/>
    <w:rsid w:val="00E911F9"/>
    <w:rsid w:val="00E96507"/>
    <w:rsid w:val="00EA2A91"/>
    <w:rsid w:val="00EB16A7"/>
    <w:rsid w:val="00EB219D"/>
    <w:rsid w:val="00EB5CAF"/>
    <w:rsid w:val="00EB6E84"/>
    <w:rsid w:val="00EC40EA"/>
    <w:rsid w:val="00EC5CDA"/>
    <w:rsid w:val="00ED24F6"/>
    <w:rsid w:val="00ED7914"/>
    <w:rsid w:val="00EE04C9"/>
    <w:rsid w:val="00EE7F4F"/>
    <w:rsid w:val="00EF38F3"/>
    <w:rsid w:val="00EF5C34"/>
    <w:rsid w:val="00EF67DB"/>
    <w:rsid w:val="00F01210"/>
    <w:rsid w:val="00F04F8F"/>
    <w:rsid w:val="00F21113"/>
    <w:rsid w:val="00F21266"/>
    <w:rsid w:val="00F24613"/>
    <w:rsid w:val="00F250E3"/>
    <w:rsid w:val="00F253A7"/>
    <w:rsid w:val="00F44E46"/>
    <w:rsid w:val="00F50313"/>
    <w:rsid w:val="00F75345"/>
    <w:rsid w:val="00F8324A"/>
    <w:rsid w:val="00F83979"/>
    <w:rsid w:val="00F85889"/>
    <w:rsid w:val="00F932B6"/>
    <w:rsid w:val="00F93C4E"/>
    <w:rsid w:val="00F9500F"/>
    <w:rsid w:val="00F95B47"/>
    <w:rsid w:val="00F95FEE"/>
    <w:rsid w:val="00F96A06"/>
    <w:rsid w:val="00F97BF8"/>
    <w:rsid w:val="00FB16B2"/>
    <w:rsid w:val="00FB2567"/>
    <w:rsid w:val="00FB5AE5"/>
    <w:rsid w:val="00FB7170"/>
    <w:rsid w:val="00FC619F"/>
    <w:rsid w:val="00FD044E"/>
    <w:rsid w:val="00FD07DD"/>
    <w:rsid w:val="00FD08B1"/>
    <w:rsid w:val="00FD0E77"/>
    <w:rsid w:val="00FD39A7"/>
    <w:rsid w:val="00FE67CF"/>
    <w:rsid w:val="00FF3146"/>
    <w:rsid w:val="00FF4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paragraph" w:styleId="Revisin">
    <w:name w:val="Revision"/>
    <w:hidden/>
    <w:uiPriority w:val="99"/>
    <w:semiHidden/>
    <w:rsid w:val="00DE6687"/>
    <w:rPr>
      <w:sz w:val="24"/>
      <w:szCs w:val="24"/>
      <w:lang w:val="es-ES" w:eastAsia="zh-CN"/>
    </w:rPr>
  </w:style>
  <w:style w:type="paragraph" w:styleId="Textodeglobo">
    <w:name w:val="Balloon Text"/>
    <w:basedOn w:val="Normal"/>
    <w:link w:val="TextodegloboCar"/>
    <w:rsid w:val="00DE6687"/>
    <w:rPr>
      <w:rFonts w:ascii="Tahoma" w:hAnsi="Tahoma" w:cs="Tahoma"/>
      <w:sz w:val="16"/>
      <w:szCs w:val="16"/>
    </w:rPr>
  </w:style>
  <w:style w:type="character" w:customStyle="1" w:styleId="TextodegloboCar">
    <w:name w:val="Texto de globo Car"/>
    <w:basedOn w:val="Fuentedeprrafopredeter"/>
    <w:link w:val="Textodeglobo"/>
    <w:rsid w:val="00DE6687"/>
    <w:rPr>
      <w:rFonts w:ascii="Tahoma"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paragraph" w:styleId="Revisin">
    <w:name w:val="Revision"/>
    <w:hidden/>
    <w:uiPriority w:val="99"/>
    <w:semiHidden/>
    <w:rsid w:val="00DE6687"/>
    <w:rPr>
      <w:sz w:val="24"/>
      <w:szCs w:val="24"/>
      <w:lang w:val="es-ES" w:eastAsia="zh-CN"/>
    </w:rPr>
  </w:style>
  <w:style w:type="paragraph" w:styleId="Textodeglobo">
    <w:name w:val="Balloon Text"/>
    <w:basedOn w:val="Normal"/>
    <w:link w:val="TextodegloboCar"/>
    <w:rsid w:val="00DE6687"/>
    <w:rPr>
      <w:rFonts w:ascii="Tahoma" w:hAnsi="Tahoma" w:cs="Tahoma"/>
      <w:sz w:val="16"/>
      <w:szCs w:val="16"/>
    </w:rPr>
  </w:style>
  <w:style w:type="character" w:customStyle="1" w:styleId="TextodegloboCar">
    <w:name w:val="Texto de globo Car"/>
    <w:basedOn w:val="Fuentedeprrafopredeter"/>
    <w:link w:val="Textodeglobo"/>
    <w:rsid w:val="00DE6687"/>
    <w:rPr>
      <w:rFonts w:ascii="Tahoma"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6623C-F4A7-412B-8335-48F6E111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6710</Words>
  <Characters>36907</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43530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3</cp:revision>
  <cp:lastPrinted>2010-05-21T17:48:00Z</cp:lastPrinted>
  <dcterms:created xsi:type="dcterms:W3CDTF">2014-11-19T20:52:00Z</dcterms:created>
  <dcterms:modified xsi:type="dcterms:W3CDTF">2014-11-19T20:54:00Z</dcterms:modified>
</cp:coreProperties>
</file>