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40" w:type="dxa"/>
        <w:tblInd w:w="144" w:type="dxa"/>
        <w:tblLayout w:type="fixed"/>
        <w:tblCellMar>
          <w:left w:w="70" w:type="dxa"/>
          <w:right w:w="70" w:type="dxa"/>
        </w:tblCellMar>
        <w:tblLook w:val="0000" w:firstRow="0" w:lastRow="0" w:firstColumn="0" w:lastColumn="0" w:noHBand="0" w:noVBand="0"/>
      </w:tblPr>
      <w:tblGrid>
        <w:gridCol w:w="8323"/>
        <w:gridCol w:w="817"/>
      </w:tblGrid>
      <w:tr w:rsidR="00F747A7" w:rsidRPr="00133367" w:rsidTr="009F1FA5">
        <w:tc>
          <w:tcPr>
            <w:tcW w:w="8323" w:type="dxa"/>
            <w:noWrap/>
          </w:tcPr>
          <w:p w:rsidR="00F747A7" w:rsidRPr="00133367" w:rsidRDefault="00F747A7" w:rsidP="00174CFA">
            <w:pPr>
              <w:pStyle w:val="Texto"/>
              <w:spacing w:after="0" w:line="240" w:lineRule="auto"/>
              <w:ind w:firstLine="0"/>
              <w:contextualSpacing/>
              <w:jc w:val="center"/>
              <w:rPr>
                <w:rFonts w:ascii="Times New Roman" w:hAnsi="Times New Roman" w:cs="Times New Roman"/>
                <w:b/>
                <w:sz w:val="26"/>
                <w:szCs w:val="26"/>
                <w:u w:val="single"/>
              </w:rPr>
            </w:pPr>
            <w:r w:rsidRPr="00133367">
              <w:rPr>
                <w:rFonts w:ascii="Times New Roman" w:hAnsi="Times New Roman" w:cs="Times New Roman"/>
                <w:b/>
                <w:sz w:val="26"/>
                <w:szCs w:val="26"/>
              </w:rPr>
              <w:t xml:space="preserve">D-3 </w:t>
            </w:r>
            <w:r w:rsidRPr="00133367">
              <w:rPr>
                <w:rFonts w:ascii="Times New Roman" w:hAnsi="Times New Roman" w:cs="Times New Roman"/>
                <w:b/>
                <w:sz w:val="26"/>
                <w:szCs w:val="26"/>
                <w:u w:val="single"/>
              </w:rPr>
              <w:t>ESTADO DE VARIACIONES EN EL CAPITAL CONTABLE</w:t>
            </w:r>
          </w:p>
          <w:p w:rsidR="00AF1F26" w:rsidRPr="00133367" w:rsidRDefault="00AF1F26" w:rsidP="00174CFA">
            <w:pPr>
              <w:pStyle w:val="Texto"/>
              <w:spacing w:after="0" w:line="240" w:lineRule="auto"/>
              <w:ind w:firstLine="0"/>
              <w:contextualSpacing/>
              <w:jc w:val="center"/>
              <w:rPr>
                <w:rFonts w:ascii="Times New Roman" w:hAnsi="Times New Roman" w:cs="Times New Roman"/>
                <w:b/>
                <w:sz w:val="26"/>
                <w:szCs w:val="26"/>
              </w:rPr>
            </w:pPr>
          </w:p>
          <w:p w:rsidR="00F747A7" w:rsidRPr="00133367" w:rsidRDefault="007A096B" w:rsidP="00174CFA">
            <w:pPr>
              <w:pStyle w:val="Texto"/>
              <w:spacing w:after="0" w:line="240" w:lineRule="auto"/>
              <w:ind w:firstLine="0"/>
              <w:contextualSpacing/>
              <w:rPr>
                <w:rFonts w:ascii="Times New Roman" w:hAnsi="Times New Roman" w:cs="Times New Roman"/>
                <w:b/>
                <w:sz w:val="26"/>
                <w:szCs w:val="26"/>
              </w:rPr>
            </w:pPr>
            <w:r w:rsidRPr="00133367">
              <w:rPr>
                <w:rFonts w:ascii="Times New Roman" w:hAnsi="Times New Roman" w:cs="Times New Roman"/>
                <w:b/>
                <w:sz w:val="26"/>
                <w:szCs w:val="26"/>
              </w:rPr>
              <w:t>Antecedentes</w:t>
            </w:r>
          </w:p>
          <w:p w:rsidR="00AF1F26" w:rsidRPr="00133367" w:rsidRDefault="00AF1F26" w:rsidP="00174CFA">
            <w:pPr>
              <w:pStyle w:val="Texto"/>
              <w:spacing w:after="0" w:line="240" w:lineRule="auto"/>
              <w:ind w:firstLine="0"/>
              <w:contextualSpacing/>
              <w:rPr>
                <w:rFonts w:ascii="Times New Roman" w:hAnsi="Times New Roman" w:cs="Times New Roman"/>
                <w:sz w:val="26"/>
                <w:szCs w:val="26"/>
              </w:rPr>
            </w:pPr>
          </w:p>
        </w:tc>
        <w:tc>
          <w:tcPr>
            <w:tcW w:w="817" w:type="dxa"/>
          </w:tcPr>
          <w:p w:rsidR="00F747A7" w:rsidRPr="00133367" w:rsidRDefault="00F747A7" w:rsidP="00174CFA">
            <w:pPr>
              <w:pStyle w:val="Texto"/>
              <w:spacing w:after="0" w:line="240" w:lineRule="auto"/>
              <w:ind w:left="360" w:firstLine="0"/>
              <w:contextualSpacing/>
              <w:jc w:val="left"/>
              <w:rPr>
                <w:rFonts w:ascii="Times New Roman" w:hAnsi="Times New Roman" w:cs="Times New Roman"/>
                <w:sz w:val="20"/>
              </w:rPr>
            </w:pPr>
          </w:p>
        </w:tc>
      </w:tr>
      <w:tr w:rsidR="00F747A7" w:rsidRPr="00133367" w:rsidTr="009F1FA5">
        <w:tc>
          <w:tcPr>
            <w:tcW w:w="8323" w:type="dxa"/>
          </w:tcPr>
          <w:p w:rsidR="00F747A7" w:rsidRPr="00133367" w:rsidRDefault="007A096B" w:rsidP="00174CFA">
            <w:pPr>
              <w:pStyle w:val="Texto"/>
              <w:spacing w:after="0" w:line="240" w:lineRule="auto"/>
              <w:ind w:firstLine="0"/>
              <w:contextualSpacing/>
              <w:rPr>
                <w:rFonts w:ascii="Times New Roman" w:hAnsi="Times New Roman" w:cs="Times New Roman"/>
                <w:sz w:val="26"/>
                <w:szCs w:val="26"/>
              </w:rPr>
            </w:pPr>
            <w:r w:rsidRPr="00133367">
              <w:rPr>
                <w:rFonts w:ascii="Times New Roman" w:hAnsi="Times New Roman" w:cs="Times New Roman"/>
                <w:sz w:val="26"/>
                <w:szCs w:val="26"/>
              </w:rPr>
              <w:t xml:space="preserve">La información de carácter financiero debe cumplir, entre otros, con el fin de reportar las modificaciones en la inversión de los </w:t>
            </w:r>
            <w:r w:rsidR="00A257B7" w:rsidRPr="00133367">
              <w:rPr>
                <w:rFonts w:ascii="Times New Roman" w:eastAsia="SimSun" w:hAnsi="Times New Roman" w:cs="Times New Roman"/>
                <w:sz w:val="26"/>
                <w:szCs w:val="26"/>
                <w:lang w:eastAsia="zh-CN"/>
              </w:rPr>
              <w:t>accionistas,</w:t>
            </w:r>
            <w:r w:rsidR="00463F98" w:rsidRPr="00133367">
              <w:rPr>
                <w:rFonts w:ascii="Times New Roman" w:hAnsi="Times New Roman" w:cs="Times New Roman"/>
                <w:sz w:val="26"/>
                <w:szCs w:val="26"/>
              </w:rPr>
              <w:t xml:space="preserve"> durante un periodo contable definido, requiriéndose el establecimiento, mediante criterios específicos, de los objetivos y estructura general </w:t>
            </w:r>
            <w:bookmarkStart w:id="0" w:name="_GoBack"/>
            <w:bookmarkEnd w:id="0"/>
            <w:r w:rsidR="00463F98" w:rsidRPr="00133367">
              <w:rPr>
                <w:rFonts w:ascii="Times New Roman" w:hAnsi="Times New Roman" w:cs="Times New Roman"/>
                <w:sz w:val="26"/>
                <w:szCs w:val="26"/>
              </w:rPr>
              <w:t>que debe tener el estado de variaciones en el capital contable.</w:t>
            </w:r>
          </w:p>
          <w:p w:rsidR="00AF1F26" w:rsidRPr="00133367" w:rsidRDefault="00AF1F26" w:rsidP="00174CFA">
            <w:pPr>
              <w:pStyle w:val="Texto"/>
              <w:spacing w:after="0" w:line="240" w:lineRule="auto"/>
              <w:ind w:firstLine="0"/>
              <w:contextualSpacing/>
              <w:rPr>
                <w:rFonts w:ascii="Times New Roman" w:hAnsi="Times New Roman" w:cs="Times New Roman"/>
                <w:sz w:val="26"/>
                <w:szCs w:val="26"/>
              </w:rPr>
            </w:pPr>
          </w:p>
          <w:p w:rsidR="00F747A7" w:rsidRPr="00133367" w:rsidRDefault="007A096B" w:rsidP="00174CFA">
            <w:pPr>
              <w:pStyle w:val="Texto"/>
              <w:spacing w:after="0" w:line="240" w:lineRule="auto"/>
              <w:ind w:firstLine="0"/>
              <w:contextualSpacing/>
              <w:rPr>
                <w:rFonts w:ascii="Times New Roman" w:hAnsi="Times New Roman" w:cs="Times New Roman"/>
                <w:b/>
                <w:sz w:val="26"/>
                <w:szCs w:val="26"/>
              </w:rPr>
            </w:pPr>
            <w:r w:rsidRPr="00133367">
              <w:rPr>
                <w:rFonts w:ascii="Times New Roman" w:hAnsi="Times New Roman" w:cs="Times New Roman"/>
                <w:b/>
                <w:sz w:val="26"/>
                <w:szCs w:val="26"/>
              </w:rPr>
              <w:t>Objetivo y alcance</w:t>
            </w:r>
          </w:p>
          <w:p w:rsidR="00AF1F26" w:rsidRPr="00133367" w:rsidRDefault="00AF1F26" w:rsidP="00174CFA">
            <w:pPr>
              <w:pStyle w:val="Texto"/>
              <w:spacing w:after="0" w:line="240" w:lineRule="auto"/>
              <w:ind w:firstLine="0"/>
              <w:contextualSpacing/>
              <w:rPr>
                <w:rFonts w:ascii="Times New Roman" w:hAnsi="Times New Roman" w:cs="Times New Roman"/>
                <w:sz w:val="26"/>
                <w:szCs w:val="26"/>
              </w:rPr>
            </w:pPr>
          </w:p>
        </w:tc>
        <w:tc>
          <w:tcPr>
            <w:tcW w:w="817" w:type="dxa"/>
          </w:tcPr>
          <w:p w:rsidR="00F747A7" w:rsidRPr="00133367" w:rsidRDefault="00F747A7" w:rsidP="00174CFA">
            <w:pPr>
              <w:pStyle w:val="Texto"/>
              <w:numPr>
                <w:ilvl w:val="0"/>
                <w:numId w:val="147"/>
              </w:numPr>
              <w:spacing w:after="0" w:line="240" w:lineRule="auto"/>
              <w:contextualSpacing/>
              <w:jc w:val="left"/>
              <w:rPr>
                <w:rFonts w:ascii="Times New Roman" w:hAnsi="Times New Roman" w:cs="Times New Roman"/>
                <w:sz w:val="20"/>
              </w:rPr>
            </w:pPr>
          </w:p>
        </w:tc>
      </w:tr>
      <w:tr w:rsidR="00F747A7" w:rsidRPr="00133367" w:rsidTr="009F1FA5">
        <w:tc>
          <w:tcPr>
            <w:tcW w:w="8323" w:type="dxa"/>
          </w:tcPr>
          <w:p w:rsidR="00F747A7" w:rsidRPr="00133367" w:rsidRDefault="00463F98" w:rsidP="00174CFA">
            <w:pPr>
              <w:pStyle w:val="Texto"/>
              <w:spacing w:after="0" w:line="240" w:lineRule="auto"/>
              <w:ind w:firstLine="0"/>
              <w:contextualSpacing/>
              <w:rPr>
                <w:rFonts w:ascii="Times New Roman" w:hAnsi="Times New Roman" w:cs="Times New Roman"/>
                <w:sz w:val="26"/>
                <w:szCs w:val="26"/>
              </w:rPr>
            </w:pPr>
            <w:r w:rsidRPr="00133367">
              <w:rPr>
                <w:rFonts w:ascii="Times New Roman" w:hAnsi="Times New Roman" w:cs="Times New Roman"/>
                <w:sz w:val="26"/>
                <w:szCs w:val="26"/>
              </w:rPr>
              <w:t>El presente criterio tiene por objetivo establecer las características generales, así como la estructura que debe tener el estado de variaciones en el capital contable de las entidades, el cual deberá apegarse a lo previsto en este criterio. Asimismo, se establecen lineamientos mínimos con el propósito de homologar la presentación de este estado financiero entre las entidades y de esta forma, facilitar la comparabilidad del mismo.</w:t>
            </w:r>
          </w:p>
          <w:p w:rsidR="000649C6" w:rsidRPr="00133367" w:rsidRDefault="000649C6" w:rsidP="00174CFA">
            <w:pPr>
              <w:pStyle w:val="Texto"/>
              <w:spacing w:after="0" w:line="240" w:lineRule="auto"/>
              <w:ind w:firstLine="0"/>
              <w:contextualSpacing/>
              <w:rPr>
                <w:rFonts w:ascii="Times New Roman" w:hAnsi="Times New Roman" w:cs="Times New Roman"/>
                <w:sz w:val="26"/>
                <w:szCs w:val="26"/>
              </w:rPr>
            </w:pPr>
          </w:p>
          <w:p w:rsidR="008627F5" w:rsidRPr="00133367" w:rsidRDefault="007A096B" w:rsidP="00174CFA">
            <w:pPr>
              <w:pStyle w:val="Texto"/>
              <w:spacing w:after="0" w:line="240" w:lineRule="auto"/>
              <w:ind w:firstLine="0"/>
              <w:contextualSpacing/>
              <w:rPr>
                <w:rFonts w:ascii="Times New Roman" w:hAnsi="Times New Roman" w:cs="Times New Roman"/>
                <w:b/>
                <w:sz w:val="26"/>
                <w:szCs w:val="26"/>
              </w:rPr>
            </w:pPr>
            <w:r w:rsidRPr="00133367">
              <w:rPr>
                <w:rFonts w:ascii="Times New Roman" w:hAnsi="Times New Roman" w:cs="Times New Roman"/>
                <w:b/>
                <w:sz w:val="26"/>
                <w:szCs w:val="26"/>
              </w:rPr>
              <w:t>Objetivo del estado de variaciones en el capital contable</w:t>
            </w:r>
          </w:p>
          <w:p w:rsidR="000649C6" w:rsidRPr="00133367" w:rsidRDefault="000649C6" w:rsidP="00174CFA">
            <w:pPr>
              <w:pStyle w:val="Texto"/>
              <w:spacing w:after="0" w:line="240" w:lineRule="auto"/>
              <w:ind w:firstLine="0"/>
              <w:contextualSpacing/>
              <w:rPr>
                <w:rFonts w:ascii="Times New Roman" w:hAnsi="Times New Roman" w:cs="Times New Roman"/>
                <w:sz w:val="26"/>
                <w:szCs w:val="26"/>
              </w:rPr>
            </w:pPr>
          </w:p>
        </w:tc>
        <w:tc>
          <w:tcPr>
            <w:tcW w:w="817" w:type="dxa"/>
          </w:tcPr>
          <w:p w:rsidR="00F747A7" w:rsidRPr="00133367" w:rsidRDefault="00F747A7" w:rsidP="00174CFA">
            <w:pPr>
              <w:pStyle w:val="Texto"/>
              <w:numPr>
                <w:ilvl w:val="0"/>
                <w:numId w:val="147"/>
              </w:numPr>
              <w:spacing w:after="0" w:line="240" w:lineRule="auto"/>
              <w:contextualSpacing/>
              <w:jc w:val="left"/>
              <w:rPr>
                <w:rFonts w:ascii="Times New Roman" w:hAnsi="Times New Roman" w:cs="Times New Roman"/>
                <w:sz w:val="20"/>
              </w:rPr>
            </w:pPr>
          </w:p>
        </w:tc>
      </w:tr>
      <w:tr w:rsidR="00F747A7" w:rsidRPr="00133367" w:rsidTr="009F1FA5">
        <w:tc>
          <w:tcPr>
            <w:tcW w:w="8323" w:type="dxa"/>
          </w:tcPr>
          <w:p w:rsidR="009540CF" w:rsidRPr="00133367" w:rsidRDefault="008431A4">
            <w:pPr>
              <w:pStyle w:val="Texto"/>
              <w:spacing w:after="0" w:line="240" w:lineRule="auto"/>
              <w:ind w:firstLine="0"/>
              <w:contextualSpacing/>
              <w:rPr>
                <w:rFonts w:ascii="Times New Roman" w:hAnsi="Times New Roman" w:cs="Times New Roman"/>
                <w:sz w:val="26"/>
                <w:szCs w:val="26"/>
              </w:rPr>
            </w:pPr>
            <w:r w:rsidRPr="00133367">
              <w:rPr>
                <w:rFonts w:ascii="Times New Roman" w:hAnsi="Times New Roman" w:cs="Times New Roman"/>
                <w:sz w:val="26"/>
                <w:szCs w:val="26"/>
              </w:rPr>
              <w:t xml:space="preserve">El estado de variaciones en el capital contable tiene por objetivo presentar información sobre los movimientos en la inversión de los accionistas de </w:t>
            </w:r>
            <w:r w:rsidR="006E066C" w:rsidRPr="00133367">
              <w:rPr>
                <w:rFonts w:ascii="Times New Roman" w:hAnsi="Times New Roman" w:cs="Times New Roman"/>
                <w:sz w:val="26"/>
                <w:szCs w:val="26"/>
              </w:rPr>
              <w:t>l</w:t>
            </w:r>
            <w:r w:rsidR="003B055C" w:rsidRPr="00133367">
              <w:rPr>
                <w:rFonts w:ascii="Times New Roman" w:hAnsi="Times New Roman" w:cs="Times New Roman"/>
                <w:sz w:val="26"/>
                <w:szCs w:val="26"/>
              </w:rPr>
              <w:t>a entidad</w:t>
            </w:r>
            <w:r w:rsidRPr="00133367">
              <w:rPr>
                <w:rFonts w:ascii="Times New Roman" w:hAnsi="Times New Roman" w:cs="Times New Roman"/>
                <w:sz w:val="26"/>
                <w:szCs w:val="26"/>
              </w:rPr>
              <w:t xml:space="preserve"> durante un periodo determinado.</w:t>
            </w:r>
          </w:p>
          <w:p w:rsidR="00AF1F26" w:rsidRPr="00133367" w:rsidRDefault="00AF1F26" w:rsidP="00174CFA">
            <w:pPr>
              <w:pStyle w:val="Texto"/>
              <w:spacing w:after="0" w:line="240" w:lineRule="auto"/>
              <w:ind w:firstLine="0"/>
              <w:contextualSpacing/>
              <w:rPr>
                <w:rFonts w:ascii="Times New Roman" w:hAnsi="Times New Roman" w:cs="Times New Roman"/>
                <w:b/>
                <w:sz w:val="26"/>
                <w:szCs w:val="26"/>
              </w:rPr>
            </w:pPr>
          </w:p>
        </w:tc>
        <w:tc>
          <w:tcPr>
            <w:tcW w:w="817" w:type="dxa"/>
          </w:tcPr>
          <w:p w:rsidR="00F747A7" w:rsidRPr="00133367" w:rsidRDefault="00F747A7" w:rsidP="00174CFA">
            <w:pPr>
              <w:pStyle w:val="Texto"/>
              <w:numPr>
                <w:ilvl w:val="0"/>
                <w:numId w:val="147"/>
              </w:numPr>
              <w:spacing w:after="0" w:line="240" w:lineRule="auto"/>
              <w:contextualSpacing/>
              <w:jc w:val="left"/>
              <w:rPr>
                <w:rFonts w:ascii="Times New Roman" w:hAnsi="Times New Roman" w:cs="Times New Roman"/>
                <w:sz w:val="20"/>
              </w:rPr>
            </w:pPr>
          </w:p>
        </w:tc>
      </w:tr>
      <w:tr w:rsidR="00F747A7" w:rsidRPr="00133367" w:rsidTr="009F1FA5">
        <w:tc>
          <w:tcPr>
            <w:tcW w:w="8323" w:type="dxa"/>
          </w:tcPr>
          <w:p w:rsidR="009540CF" w:rsidRPr="00133367" w:rsidRDefault="008431A4">
            <w:pPr>
              <w:pStyle w:val="Texto"/>
              <w:spacing w:after="0" w:line="240" w:lineRule="auto"/>
              <w:ind w:firstLine="0"/>
              <w:contextualSpacing/>
              <w:rPr>
                <w:rFonts w:ascii="Times New Roman" w:hAnsi="Times New Roman" w:cs="Times New Roman"/>
                <w:sz w:val="26"/>
                <w:szCs w:val="26"/>
              </w:rPr>
            </w:pPr>
            <w:r w:rsidRPr="00133367">
              <w:rPr>
                <w:rFonts w:ascii="Times New Roman" w:hAnsi="Times New Roman" w:cs="Times New Roman"/>
                <w:sz w:val="26"/>
                <w:szCs w:val="26"/>
              </w:rPr>
              <w:t>Por consiguiente, dicho estado financiero mostrará el incremento o decremento en el patrimonio de las entidades, derivado de dos tipos de movimientos: inherentes a la</w:t>
            </w:r>
            <w:r w:rsidR="00F773E6">
              <w:rPr>
                <w:rFonts w:ascii="Times New Roman" w:hAnsi="Times New Roman" w:cs="Times New Roman"/>
                <w:sz w:val="26"/>
                <w:szCs w:val="26"/>
              </w:rPr>
              <w:t>s decisiones de los accionistas</w:t>
            </w:r>
            <w:r w:rsidRPr="00133367">
              <w:rPr>
                <w:rFonts w:ascii="Times New Roman" w:hAnsi="Times New Roman" w:cs="Times New Roman"/>
                <w:sz w:val="26"/>
                <w:szCs w:val="26"/>
              </w:rPr>
              <w:t xml:space="preserve"> y al reconocimiento de la utilidad integral.</w:t>
            </w:r>
          </w:p>
          <w:p w:rsidR="00AF1F26" w:rsidRPr="00133367" w:rsidRDefault="00AF1F26" w:rsidP="00174CFA">
            <w:pPr>
              <w:pStyle w:val="Texto"/>
              <w:spacing w:after="0" w:line="240" w:lineRule="auto"/>
              <w:ind w:firstLine="0"/>
              <w:contextualSpacing/>
              <w:rPr>
                <w:rFonts w:ascii="Times New Roman" w:hAnsi="Times New Roman" w:cs="Times New Roman"/>
                <w:b/>
                <w:sz w:val="26"/>
                <w:szCs w:val="26"/>
              </w:rPr>
            </w:pPr>
          </w:p>
        </w:tc>
        <w:tc>
          <w:tcPr>
            <w:tcW w:w="817" w:type="dxa"/>
          </w:tcPr>
          <w:p w:rsidR="00F747A7" w:rsidRPr="00133367" w:rsidRDefault="00F747A7" w:rsidP="00174CFA">
            <w:pPr>
              <w:pStyle w:val="Texto"/>
              <w:numPr>
                <w:ilvl w:val="0"/>
                <w:numId w:val="147"/>
              </w:numPr>
              <w:spacing w:after="0" w:line="240" w:lineRule="auto"/>
              <w:contextualSpacing/>
              <w:jc w:val="left"/>
              <w:rPr>
                <w:rFonts w:ascii="Times New Roman" w:hAnsi="Times New Roman" w:cs="Times New Roman"/>
                <w:sz w:val="20"/>
              </w:rPr>
            </w:pPr>
          </w:p>
        </w:tc>
      </w:tr>
      <w:tr w:rsidR="00F747A7" w:rsidRPr="00133367" w:rsidTr="009F1FA5">
        <w:tc>
          <w:tcPr>
            <w:tcW w:w="8323" w:type="dxa"/>
          </w:tcPr>
          <w:p w:rsidR="00F747A7" w:rsidRPr="00133367" w:rsidRDefault="008431A4" w:rsidP="00174CFA">
            <w:pPr>
              <w:pStyle w:val="Texto"/>
              <w:spacing w:after="0" w:line="240" w:lineRule="auto"/>
              <w:ind w:firstLine="0"/>
              <w:contextualSpacing/>
              <w:rPr>
                <w:rFonts w:ascii="Times New Roman" w:hAnsi="Times New Roman" w:cs="Times New Roman"/>
                <w:sz w:val="26"/>
                <w:szCs w:val="26"/>
              </w:rPr>
            </w:pPr>
            <w:r w:rsidRPr="00133367">
              <w:rPr>
                <w:rFonts w:ascii="Times New Roman" w:hAnsi="Times New Roman" w:cs="Times New Roman"/>
                <w:sz w:val="26"/>
                <w:szCs w:val="26"/>
              </w:rPr>
              <w:t>El presente criterio no tiene como finalidad establecer la mecánica mediante la cual se determinan los movimientos antes mencionados, ya que son objeto de los criterios de contabilidad para sociedades financieras populares</w:t>
            </w:r>
            <w:r w:rsidR="009E0D7A">
              <w:rPr>
                <w:rFonts w:ascii="Times New Roman" w:hAnsi="Times New Roman" w:cs="Times New Roman"/>
                <w:sz w:val="26"/>
                <w:szCs w:val="26"/>
              </w:rPr>
              <w:t>, sociedades financieras</w:t>
            </w:r>
            <w:r w:rsidRPr="00133367">
              <w:rPr>
                <w:rFonts w:ascii="Times New Roman" w:hAnsi="Times New Roman" w:cs="Times New Roman"/>
                <w:sz w:val="26"/>
                <w:szCs w:val="26"/>
              </w:rPr>
              <w:t xml:space="preserve"> comunitarias</w:t>
            </w:r>
            <w:r w:rsidR="009E0D7A">
              <w:rPr>
                <w:rFonts w:ascii="Times New Roman" w:hAnsi="Times New Roman" w:cs="Times New Roman"/>
                <w:sz w:val="26"/>
                <w:szCs w:val="26"/>
              </w:rPr>
              <w:t xml:space="preserve"> y</w:t>
            </w:r>
            <w:r w:rsidRPr="00133367">
              <w:rPr>
                <w:rFonts w:ascii="Times New Roman" w:hAnsi="Times New Roman" w:cs="Times New Roman"/>
                <w:sz w:val="26"/>
                <w:szCs w:val="26"/>
              </w:rPr>
              <w:t xml:space="preserve"> organismos de integración financiera rural o NIF específicos establecidos al respecto.</w:t>
            </w:r>
          </w:p>
          <w:p w:rsidR="00AF1F26" w:rsidRPr="00133367" w:rsidRDefault="00AF1F26" w:rsidP="00174CFA">
            <w:pPr>
              <w:pStyle w:val="Texto"/>
              <w:spacing w:after="0" w:line="240" w:lineRule="auto"/>
              <w:ind w:firstLine="0"/>
              <w:contextualSpacing/>
              <w:rPr>
                <w:rFonts w:ascii="Times New Roman" w:hAnsi="Times New Roman" w:cs="Times New Roman"/>
                <w:sz w:val="26"/>
                <w:szCs w:val="26"/>
              </w:rPr>
            </w:pPr>
          </w:p>
          <w:p w:rsidR="00F747A7" w:rsidRPr="00133367" w:rsidRDefault="008431A4" w:rsidP="00174CFA">
            <w:pPr>
              <w:pStyle w:val="Texto"/>
              <w:spacing w:after="0" w:line="240" w:lineRule="auto"/>
              <w:ind w:firstLine="0"/>
              <w:contextualSpacing/>
              <w:rPr>
                <w:rFonts w:ascii="Times New Roman" w:hAnsi="Times New Roman" w:cs="Times New Roman"/>
                <w:b/>
                <w:sz w:val="26"/>
                <w:szCs w:val="26"/>
              </w:rPr>
            </w:pPr>
            <w:r w:rsidRPr="00133367">
              <w:rPr>
                <w:rFonts w:ascii="Times New Roman" w:hAnsi="Times New Roman" w:cs="Times New Roman"/>
                <w:b/>
                <w:sz w:val="26"/>
                <w:szCs w:val="26"/>
              </w:rPr>
              <w:t>Conceptos que integran el estado de variaciones en el capital contable</w:t>
            </w:r>
          </w:p>
          <w:p w:rsidR="00AF1F26" w:rsidRPr="00133367" w:rsidRDefault="00AF1F26" w:rsidP="00174CFA">
            <w:pPr>
              <w:pStyle w:val="Texto"/>
              <w:spacing w:after="0" w:line="240" w:lineRule="auto"/>
              <w:ind w:firstLine="0"/>
              <w:contextualSpacing/>
              <w:rPr>
                <w:rFonts w:ascii="Times New Roman" w:hAnsi="Times New Roman" w:cs="Times New Roman"/>
                <w:b/>
                <w:sz w:val="26"/>
                <w:szCs w:val="26"/>
              </w:rPr>
            </w:pPr>
          </w:p>
        </w:tc>
        <w:tc>
          <w:tcPr>
            <w:tcW w:w="817" w:type="dxa"/>
          </w:tcPr>
          <w:p w:rsidR="00F747A7" w:rsidRPr="00133367" w:rsidRDefault="00F747A7" w:rsidP="00174CFA">
            <w:pPr>
              <w:pStyle w:val="Texto"/>
              <w:numPr>
                <w:ilvl w:val="0"/>
                <w:numId w:val="147"/>
              </w:numPr>
              <w:spacing w:after="0" w:line="240" w:lineRule="auto"/>
              <w:contextualSpacing/>
              <w:jc w:val="left"/>
              <w:rPr>
                <w:rFonts w:ascii="Times New Roman" w:hAnsi="Times New Roman" w:cs="Times New Roman"/>
                <w:sz w:val="20"/>
              </w:rPr>
            </w:pPr>
          </w:p>
        </w:tc>
      </w:tr>
      <w:tr w:rsidR="00F747A7" w:rsidRPr="00133367" w:rsidTr="009F1FA5">
        <w:tc>
          <w:tcPr>
            <w:tcW w:w="8323" w:type="dxa"/>
          </w:tcPr>
          <w:p w:rsidR="00F747A7" w:rsidRPr="00133367" w:rsidRDefault="008431A4" w:rsidP="00174CFA">
            <w:pPr>
              <w:pStyle w:val="Texto"/>
              <w:spacing w:after="0" w:line="240" w:lineRule="auto"/>
              <w:ind w:firstLine="0"/>
              <w:contextualSpacing/>
              <w:rPr>
                <w:rFonts w:ascii="Times New Roman" w:hAnsi="Times New Roman" w:cs="Times New Roman"/>
                <w:sz w:val="26"/>
                <w:szCs w:val="26"/>
              </w:rPr>
            </w:pPr>
            <w:r w:rsidRPr="00133367">
              <w:rPr>
                <w:rFonts w:ascii="Times New Roman" w:hAnsi="Times New Roman" w:cs="Times New Roman"/>
                <w:sz w:val="26"/>
                <w:szCs w:val="26"/>
              </w:rPr>
              <w:t>En un contexto general, los conceptos por los cuales se presentan modificaciones al capital contable son los siguientes:</w:t>
            </w:r>
          </w:p>
          <w:p w:rsidR="00200449" w:rsidRPr="00133367" w:rsidRDefault="00200449" w:rsidP="00174CFA">
            <w:pPr>
              <w:pStyle w:val="Texto"/>
              <w:spacing w:after="0" w:line="240" w:lineRule="auto"/>
              <w:ind w:firstLine="0"/>
              <w:contextualSpacing/>
              <w:rPr>
                <w:rFonts w:ascii="Times New Roman" w:hAnsi="Times New Roman" w:cs="Times New Roman"/>
                <w:sz w:val="26"/>
                <w:szCs w:val="26"/>
              </w:rPr>
            </w:pPr>
          </w:p>
          <w:p w:rsidR="009540CF" w:rsidRPr="00133367" w:rsidRDefault="008431A4">
            <w:pPr>
              <w:pStyle w:val="Texto"/>
              <w:spacing w:after="0" w:line="240" w:lineRule="auto"/>
              <w:ind w:firstLine="0"/>
              <w:contextualSpacing/>
              <w:rPr>
                <w:rFonts w:ascii="Times New Roman" w:hAnsi="Times New Roman" w:cs="Times New Roman"/>
                <w:sz w:val="26"/>
                <w:szCs w:val="26"/>
                <w:u w:val="single"/>
              </w:rPr>
            </w:pPr>
            <w:r w:rsidRPr="00133367">
              <w:rPr>
                <w:rFonts w:ascii="Times New Roman" w:hAnsi="Times New Roman" w:cs="Times New Roman"/>
                <w:sz w:val="26"/>
                <w:szCs w:val="26"/>
                <w:u w:val="single"/>
              </w:rPr>
              <w:t xml:space="preserve">Movimientos inherentes a las decisiones de los </w:t>
            </w:r>
            <w:r w:rsidR="00463F98" w:rsidRPr="00133367">
              <w:rPr>
                <w:rFonts w:ascii="Times New Roman" w:hAnsi="Times New Roman" w:cs="Times New Roman"/>
                <w:sz w:val="26"/>
                <w:szCs w:val="26"/>
                <w:u w:val="single"/>
              </w:rPr>
              <w:t>accionistas</w:t>
            </w:r>
          </w:p>
          <w:p w:rsidR="009540CF" w:rsidRPr="00133367" w:rsidRDefault="009540CF">
            <w:pPr>
              <w:pStyle w:val="Texto"/>
              <w:tabs>
                <w:tab w:val="center" w:pos="4464"/>
                <w:tab w:val="right" w:pos="8582"/>
              </w:tabs>
              <w:spacing w:after="0" w:line="240" w:lineRule="auto"/>
              <w:ind w:left="288" w:right="288" w:firstLine="0"/>
              <w:contextualSpacing/>
              <w:rPr>
                <w:rFonts w:ascii="Times New Roman" w:hAnsi="Times New Roman" w:cs="Times New Roman"/>
                <w:b/>
                <w:sz w:val="26"/>
                <w:szCs w:val="26"/>
                <w:u w:val="single"/>
              </w:rPr>
            </w:pPr>
          </w:p>
        </w:tc>
        <w:tc>
          <w:tcPr>
            <w:tcW w:w="817" w:type="dxa"/>
          </w:tcPr>
          <w:p w:rsidR="00F747A7" w:rsidRPr="00133367" w:rsidRDefault="00F747A7" w:rsidP="00174CFA">
            <w:pPr>
              <w:pStyle w:val="Texto"/>
              <w:numPr>
                <w:ilvl w:val="0"/>
                <w:numId w:val="147"/>
              </w:numPr>
              <w:spacing w:after="0" w:line="240" w:lineRule="auto"/>
              <w:contextualSpacing/>
              <w:jc w:val="left"/>
              <w:rPr>
                <w:rFonts w:ascii="Times New Roman" w:hAnsi="Times New Roman" w:cs="Times New Roman"/>
                <w:sz w:val="20"/>
              </w:rPr>
            </w:pPr>
          </w:p>
        </w:tc>
      </w:tr>
      <w:tr w:rsidR="00F747A7" w:rsidRPr="00133367" w:rsidTr="009F1FA5">
        <w:tc>
          <w:tcPr>
            <w:tcW w:w="8323" w:type="dxa"/>
          </w:tcPr>
          <w:p w:rsidR="00F747A7" w:rsidRPr="00133367" w:rsidRDefault="008431A4" w:rsidP="00174CFA">
            <w:pPr>
              <w:pStyle w:val="Texto"/>
              <w:spacing w:after="0" w:line="240" w:lineRule="auto"/>
              <w:ind w:firstLine="0"/>
              <w:contextualSpacing/>
              <w:rPr>
                <w:rFonts w:ascii="Times New Roman" w:hAnsi="Times New Roman" w:cs="Times New Roman"/>
                <w:sz w:val="26"/>
                <w:szCs w:val="26"/>
              </w:rPr>
            </w:pPr>
            <w:r w:rsidRPr="00133367">
              <w:rPr>
                <w:rFonts w:ascii="Times New Roman" w:hAnsi="Times New Roman" w:cs="Times New Roman"/>
                <w:sz w:val="26"/>
                <w:szCs w:val="26"/>
              </w:rPr>
              <w:lastRenderedPageBreak/>
              <w:t>Dentro de este tipo de movimientos se encuentran aqu</w:t>
            </w:r>
            <w:r w:rsidR="00B650D2" w:rsidRPr="00133367">
              <w:rPr>
                <w:rFonts w:ascii="Times New Roman" w:hAnsi="Times New Roman" w:cs="Times New Roman"/>
                <w:sz w:val="26"/>
                <w:szCs w:val="26"/>
              </w:rPr>
              <w:t>e</w:t>
            </w:r>
            <w:r w:rsidRPr="00133367">
              <w:rPr>
                <w:rFonts w:ascii="Times New Roman" w:hAnsi="Times New Roman" w:cs="Times New Roman"/>
                <w:sz w:val="26"/>
                <w:szCs w:val="26"/>
              </w:rPr>
              <w:t>llos directamente relacionados con las decisiones que toman los accionistas respecto a su inversión en la entidad. Algunos ejemplos de este tipo de movimientos son los siguientes:</w:t>
            </w:r>
          </w:p>
          <w:p w:rsidR="008F6EE7" w:rsidRPr="00133367" w:rsidRDefault="008431A4" w:rsidP="00133367">
            <w:pPr>
              <w:pStyle w:val="Texto"/>
              <w:tabs>
                <w:tab w:val="left" w:pos="423"/>
              </w:tabs>
              <w:spacing w:after="0" w:line="240" w:lineRule="auto"/>
              <w:ind w:left="423" w:hanging="423"/>
              <w:contextualSpacing/>
              <w:rPr>
                <w:rFonts w:ascii="Times New Roman" w:hAnsi="Times New Roman" w:cs="Times New Roman"/>
                <w:sz w:val="26"/>
                <w:szCs w:val="26"/>
              </w:rPr>
            </w:pPr>
            <w:r w:rsidRPr="00133367">
              <w:rPr>
                <w:rFonts w:ascii="Times New Roman" w:hAnsi="Times New Roman" w:cs="Times New Roman"/>
                <w:sz w:val="26"/>
                <w:szCs w:val="26"/>
              </w:rPr>
              <w:t>a)</w:t>
            </w:r>
            <w:r w:rsidRPr="00133367">
              <w:rPr>
                <w:rFonts w:ascii="Times New Roman" w:hAnsi="Times New Roman" w:cs="Times New Roman"/>
                <w:sz w:val="26"/>
                <w:szCs w:val="26"/>
              </w:rPr>
              <w:tab/>
              <w:t>suscripción de acciones;</w:t>
            </w:r>
          </w:p>
          <w:p w:rsidR="00F747A7" w:rsidRPr="00133367" w:rsidRDefault="008431A4" w:rsidP="00174CFA">
            <w:pPr>
              <w:pStyle w:val="Texto"/>
              <w:tabs>
                <w:tab w:val="left" w:pos="423"/>
              </w:tabs>
              <w:spacing w:after="0" w:line="240" w:lineRule="auto"/>
              <w:ind w:firstLine="0"/>
              <w:contextualSpacing/>
              <w:rPr>
                <w:rFonts w:ascii="Times New Roman" w:hAnsi="Times New Roman" w:cs="Times New Roman"/>
                <w:sz w:val="26"/>
                <w:szCs w:val="26"/>
              </w:rPr>
            </w:pPr>
            <w:r w:rsidRPr="00133367">
              <w:rPr>
                <w:rFonts w:ascii="Times New Roman" w:hAnsi="Times New Roman" w:cs="Times New Roman"/>
                <w:sz w:val="26"/>
                <w:szCs w:val="26"/>
              </w:rPr>
              <w:t>b)</w:t>
            </w:r>
            <w:r w:rsidRPr="00133367">
              <w:rPr>
                <w:rFonts w:ascii="Times New Roman" w:hAnsi="Times New Roman" w:cs="Times New Roman"/>
                <w:sz w:val="26"/>
                <w:szCs w:val="26"/>
              </w:rPr>
              <w:tab/>
              <w:t>capitalización de utilidades;</w:t>
            </w:r>
          </w:p>
          <w:p w:rsidR="00F747A7" w:rsidRPr="00133367" w:rsidRDefault="008431A4" w:rsidP="00174CFA">
            <w:pPr>
              <w:pStyle w:val="Texto"/>
              <w:tabs>
                <w:tab w:val="left" w:pos="423"/>
              </w:tabs>
              <w:spacing w:after="0" w:line="240" w:lineRule="auto"/>
              <w:ind w:firstLine="0"/>
              <w:contextualSpacing/>
              <w:rPr>
                <w:rFonts w:ascii="Times New Roman" w:hAnsi="Times New Roman" w:cs="Times New Roman"/>
                <w:sz w:val="26"/>
                <w:szCs w:val="26"/>
              </w:rPr>
            </w:pPr>
            <w:r w:rsidRPr="00133367">
              <w:rPr>
                <w:rFonts w:ascii="Times New Roman" w:hAnsi="Times New Roman" w:cs="Times New Roman"/>
                <w:sz w:val="26"/>
                <w:szCs w:val="26"/>
              </w:rPr>
              <w:t>c)</w:t>
            </w:r>
            <w:r w:rsidRPr="00133367">
              <w:rPr>
                <w:rFonts w:ascii="Times New Roman" w:hAnsi="Times New Roman" w:cs="Times New Roman"/>
                <w:sz w:val="26"/>
                <w:szCs w:val="26"/>
              </w:rPr>
              <w:tab/>
              <w:t>constitución de reservas;</w:t>
            </w:r>
          </w:p>
          <w:p w:rsidR="00F747A7" w:rsidRPr="00133367" w:rsidRDefault="008431A4" w:rsidP="00174CFA">
            <w:pPr>
              <w:pStyle w:val="Texto"/>
              <w:tabs>
                <w:tab w:val="left" w:pos="423"/>
              </w:tabs>
              <w:spacing w:after="0" w:line="240" w:lineRule="auto"/>
              <w:ind w:firstLine="0"/>
              <w:contextualSpacing/>
              <w:rPr>
                <w:rFonts w:ascii="Times New Roman" w:hAnsi="Times New Roman" w:cs="Times New Roman"/>
                <w:sz w:val="26"/>
                <w:szCs w:val="26"/>
              </w:rPr>
            </w:pPr>
            <w:r w:rsidRPr="00133367">
              <w:rPr>
                <w:rFonts w:ascii="Times New Roman" w:hAnsi="Times New Roman" w:cs="Times New Roman"/>
                <w:sz w:val="26"/>
                <w:szCs w:val="26"/>
              </w:rPr>
              <w:t>d)</w:t>
            </w:r>
            <w:r w:rsidRPr="00133367">
              <w:rPr>
                <w:rFonts w:ascii="Times New Roman" w:hAnsi="Times New Roman" w:cs="Times New Roman"/>
                <w:sz w:val="26"/>
                <w:szCs w:val="26"/>
              </w:rPr>
              <w:tab/>
              <w:t>traspaso del resultado neto a resultado de ejercicios anteriores, y</w:t>
            </w:r>
          </w:p>
          <w:p w:rsidR="00F747A7" w:rsidRPr="00133367" w:rsidRDefault="008431A4" w:rsidP="00174CFA">
            <w:pPr>
              <w:pStyle w:val="Texto"/>
              <w:tabs>
                <w:tab w:val="left" w:pos="423"/>
              </w:tabs>
              <w:spacing w:after="0" w:line="240" w:lineRule="auto"/>
              <w:ind w:firstLine="0"/>
              <w:contextualSpacing/>
              <w:rPr>
                <w:rFonts w:ascii="Times New Roman" w:hAnsi="Times New Roman" w:cs="Times New Roman"/>
                <w:sz w:val="26"/>
                <w:szCs w:val="26"/>
              </w:rPr>
            </w:pPr>
            <w:r w:rsidRPr="00133367">
              <w:rPr>
                <w:rFonts w:ascii="Times New Roman" w:hAnsi="Times New Roman" w:cs="Times New Roman"/>
                <w:sz w:val="26"/>
                <w:szCs w:val="26"/>
              </w:rPr>
              <w:t>e)</w:t>
            </w:r>
            <w:r w:rsidRPr="00133367">
              <w:rPr>
                <w:rFonts w:ascii="Times New Roman" w:hAnsi="Times New Roman" w:cs="Times New Roman"/>
                <w:sz w:val="26"/>
                <w:szCs w:val="26"/>
              </w:rPr>
              <w:tab/>
              <w:t xml:space="preserve">pago de </w:t>
            </w:r>
            <w:r w:rsidR="00A257B7" w:rsidRPr="00133367">
              <w:rPr>
                <w:rFonts w:ascii="Times New Roman" w:hAnsi="Times New Roman" w:cs="Times New Roman"/>
                <w:sz w:val="26"/>
                <w:szCs w:val="26"/>
              </w:rPr>
              <w:t>dividendos</w:t>
            </w:r>
            <w:r w:rsidR="004E764D" w:rsidRPr="00133367">
              <w:rPr>
                <w:rFonts w:ascii="Times New Roman" w:hAnsi="Times New Roman" w:cs="Times New Roman"/>
                <w:sz w:val="26"/>
                <w:szCs w:val="26"/>
              </w:rPr>
              <w:t>.</w:t>
            </w:r>
          </w:p>
          <w:p w:rsidR="00AF1F26" w:rsidRPr="00133367" w:rsidRDefault="00AF1F26" w:rsidP="00174CFA">
            <w:pPr>
              <w:pStyle w:val="Texto"/>
              <w:spacing w:after="0" w:line="240" w:lineRule="auto"/>
              <w:ind w:hanging="396"/>
              <w:contextualSpacing/>
              <w:rPr>
                <w:rFonts w:ascii="Times New Roman" w:hAnsi="Times New Roman" w:cs="Times New Roman"/>
                <w:sz w:val="26"/>
                <w:szCs w:val="26"/>
              </w:rPr>
            </w:pPr>
          </w:p>
          <w:p w:rsidR="00F747A7" w:rsidRPr="00133367" w:rsidRDefault="008431A4" w:rsidP="00174CFA">
            <w:pPr>
              <w:pStyle w:val="Texto"/>
              <w:spacing w:after="0" w:line="240" w:lineRule="auto"/>
              <w:ind w:firstLine="0"/>
              <w:contextualSpacing/>
              <w:rPr>
                <w:rFonts w:ascii="Times New Roman" w:hAnsi="Times New Roman" w:cs="Times New Roman"/>
                <w:sz w:val="26"/>
                <w:szCs w:val="26"/>
                <w:u w:val="single"/>
              </w:rPr>
            </w:pPr>
            <w:r w:rsidRPr="00133367">
              <w:rPr>
                <w:rFonts w:ascii="Times New Roman" w:hAnsi="Times New Roman" w:cs="Times New Roman"/>
                <w:sz w:val="26"/>
                <w:szCs w:val="26"/>
                <w:u w:val="single"/>
              </w:rPr>
              <w:t>Movimientos inherentes al reconocimiento de la utilidad integral</w:t>
            </w:r>
          </w:p>
          <w:p w:rsidR="00AF1F26" w:rsidRPr="00133367" w:rsidRDefault="00AF1F26" w:rsidP="00174CFA">
            <w:pPr>
              <w:pStyle w:val="Texto"/>
              <w:spacing w:after="0" w:line="240" w:lineRule="auto"/>
              <w:ind w:firstLine="0"/>
              <w:contextualSpacing/>
              <w:rPr>
                <w:rFonts w:ascii="Times New Roman" w:hAnsi="Times New Roman" w:cs="Times New Roman"/>
                <w:sz w:val="26"/>
                <w:szCs w:val="26"/>
                <w:u w:val="single"/>
              </w:rPr>
            </w:pPr>
          </w:p>
        </w:tc>
        <w:tc>
          <w:tcPr>
            <w:tcW w:w="817" w:type="dxa"/>
          </w:tcPr>
          <w:p w:rsidR="00F747A7" w:rsidRPr="00133367" w:rsidRDefault="00F747A7" w:rsidP="00174CFA">
            <w:pPr>
              <w:pStyle w:val="Texto"/>
              <w:numPr>
                <w:ilvl w:val="0"/>
                <w:numId w:val="147"/>
              </w:numPr>
              <w:spacing w:after="0" w:line="240" w:lineRule="auto"/>
              <w:contextualSpacing/>
              <w:jc w:val="left"/>
              <w:rPr>
                <w:rFonts w:ascii="Times New Roman" w:hAnsi="Times New Roman" w:cs="Times New Roman"/>
                <w:sz w:val="20"/>
              </w:rPr>
            </w:pPr>
          </w:p>
        </w:tc>
      </w:tr>
      <w:tr w:rsidR="00F747A7" w:rsidRPr="00133367" w:rsidTr="009F1FA5">
        <w:tc>
          <w:tcPr>
            <w:tcW w:w="8323" w:type="dxa"/>
          </w:tcPr>
          <w:p w:rsidR="00F747A7" w:rsidRPr="00133367" w:rsidRDefault="008431A4" w:rsidP="00174CFA">
            <w:pPr>
              <w:pStyle w:val="Texto"/>
              <w:spacing w:after="0" w:line="240" w:lineRule="auto"/>
              <w:ind w:firstLine="0"/>
              <w:contextualSpacing/>
              <w:rPr>
                <w:rFonts w:ascii="Times New Roman" w:hAnsi="Times New Roman" w:cs="Times New Roman"/>
                <w:sz w:val="26"/>
                <w:szCs w:val="26"/>
              </w:rPr>
            </w:pPr>
            <w:r w:rsidRPr="00133367">
              <w:rPr>
                <w:rFonts w:ascii="Times New Roman" w:hAnsi="Times New Roman" w:cs="Times New Roman"/>
                <w:sz w:val="26"/>
                <w:szCs w:val="26"/>
              </w:rPr>
              <w:t xml:space="preserve">Se refieren a los incrementos o disminuciones durante un periodo, derivados de transacciones, otros eventos y circunstancias, provenientes de fuentes no vinculadas con las decisiones de los </w:t>
            </w:r>
            <w:r w:rsidR="00F773E6" w:rsidRPr="00133367">
              <w:rPr>
                <w:rFonts w:ascii="Times New Roman" w:hAnsi="Times New Roman" w:cs="Times New Roman"/>
                <w:sz w:val="26"/>
                <w:szCs w:val="26"/>
              </w:rPr>
              <w:t xml:space="preserve">accionistas. </w:t>
            </w:r>
            <w:r w:rsidRPr="00133367">
              <w:rPr>
                <w:rFonts w:ascii="Times New Roman" w:hAnsi="Times New Roman" w:cs="Times New Roman"/>
                <w:sz w:val="26"/>
                <w:szCs w:val="26"/>
              </w:rPr>
              <w:t>El propósito de reportar este tipo de movimientos es el de medir el desempeño de la entidad mostrando las variaciones en el capital contable que se derivan del resultado neto del periodo, así como de aquellas partidas cuyo efecto por disposiciones específicas de algunos criterios de contabilidad para sociedades financieras populares</w:t>
            </w:r>
            <w:r w:rsidR="009E0D7A">
              <w:rPr>
                <w:rFonts w:ascii="Times New Roman" w:hAnsi="Times New Roman" w:cs="Times New Roman"/>
                <w:sz w:val="26"/>
                <w:szCs w:val="26"/>
              </w:rPr>
              <w:t>, sociedades financieras</w:t>
            </w:r>
            <w:r w:rsidRPr="00133367">
              <w:rPr>
                <w:rFonts w:ascii="Times New Roman" w:hAnsi="Times New Roman" w:cs="Times New Roman"/>
                <w:sz w:val="26"/>
                <w:szCs w:val="26"/>
              </w:rPr>
              <w:t xml:space="preserve"> comunitarias</w:t>
            </w:r>
            <w:r w:rsidR="009E0D7A">
              <w:rPr>
                <w:rFonts w:ascii="Times New Roman" w:hAnsi="Times New Roman" w:cs="Times New Roman"/>
                <w:sz w:val="26"/>
                <w:szCs w:val="26"/>
              </w:rPr>
              <w:t xml:space="preserve"> y</w:t>
            </w:r>
            <w:r w:rsidRPr="00133367">
              <w:rPr>
                <w:rFonts w:ascii="Times New Roman" w:hAnsi="Times New Roman" w:cs="Times New Roman"/>
                <w:sz w:val="26"/>
                <w:szCs w:val="26"/>
              </w:rPr>
              <w:t xml:space="preserve"> organismos de integración financiera rural</w:t>
            </w:r>
            <w:r w:rsidR="00B1222C" w:rsidRPr="00133367">
              <w:rPr>
                <w:rFonts w:ascii="Times New Roman" w:hAnsi="Times New Roman" w:cs="Times New Roman"/>
                <w:sz w:val="26"/>
                <w:szCs w:val="26"/>
              </w:rPr>
              <w:t xml:space="preserve"> </w:t>
            </w:r>
            <w:r w:rsidRPr="00133367">
              <w:rPr>
                <w:rFonts w:ascii="Times New Roman" w:hAnsi="Times New Roman" w:cs="Times New Roman"/>
                <w:sz w:val="26"/>
                <w:szCs w:val="26"/>
              </w:rPr>
              <w:t>o NIF, se reflejan directamente en el capital contable y no constituyen aportaciones, reducciones o distribuciones de capital, tales como:</w:t>
            </w:r>
          </w:p>
          <w:p w:rsidR="00AF1F26" w:rsidRPr="00133367" w:rsidRDefault="00AF1F26" w:rsidP="00174CFA">
            <w:pPr>
              <w:pStyle w:val="Texto"/>
              <w:spacing w:after="0" w:line="240" w:lineRule="auto"/>
              <w:ind w:firstLine="0"/>
              <w:contextualSpacing/>
              <w:rPr>
                <w:rFonts w:ascii="Times New Roman" w:hAnsi="Times New Roman" w:cs="Times New Roman"/>
                <w:sz w:val="26"/>
                <w:szCs w:val="26"/>
              </w:rPr>
            </w:pPr>
          </w:p>
          <w:p w:rsidR="008F6EE7" w:rsidRPr="00133367" w:rsidRDefault="008431A4" w:rsidP="00133367">
            <w:pPr>
              <w:pStyle w:val="Texto"/>
              <w:spacing w:after="0" w:line="240" w:lineRule="auto"/>
              <w:ind w:left="423" w:hanging="396"/>
              <w:contextualSpacing/>
              <w:rPr>
                <w:rFonts w:ascii="Times New Roman" w:hAnsi="Times New Roman" w:cs="Times New Roman"/>
                <w:sz w:val="26"/>
                <w:szCs w:val="26"/>
              </w:rPr>
            </w:pPr>
            <w:r w:rsidRPr="00133367">
              <w:rPr>
                <w:rFonts w:ascii="Times New Roman" w:hAnsi="Times New Roman" w:cs="Times New Roman"/>
                <w:sz w:val="26"/>
                <w:szCs w:val="26"/>
              </w:rPr>
              <w:t>a)</w:t>
            </w:r>
            <w:r w:rsidRPr="00133367">
              <w:rPr>
                <w:rFonts w:ascii="Times New Roman" w:hAnsi="Times New Roman" w:cs="Times New Roman"/>
                <w:sz w:val="26"/>
                <w:szCs w:val="26"/>
              </w:rPr>
              <w:tab/>
              <w:t>resultado por valuación de títulos disponibles para la venta, y</w:t>
            </w:r>
          </w:p>
          <w:p w:rsidR="008F6EE7" w:rsidRPr="00133367" w:rsidRDefault="008431A4" w:rsidP="00133367">
            <w:pPr>
              <w:pStyle w:val="Texto"/>
              <w:spacing w:after="0" w:line="240" w:lineRule="auto"/>
              <w:ind w:left="423" w:hanging="396"/>
              <w:contextualSpacing/>
              <w:rPr>
                <w:rFonts w:ascii="Times New Roman" w:hAnsi="Times New Roman" w:cs="Times New Roman"/>
                <w:sz w:val="26"/>
                <w:szCs w:val="26"/>
              </w:rPr>
            </w:pPr>
            <w:r w:rsidRPr="00133367">
              <w:rPr>
                <w:rFonts w:ascii="Times New Roman" w:hAnsi="Times New Roman" w:cs="Times New Roman"/>
                <w:sz w:val="26"/>
                <w:szCs w:val="26"/>
              </w:rPr>
              <w:t>b)</w:t>
            </w:r>
            <w:r w:rsidRPr="00133367">
              <w:rPr>
                <w:rFonts w:ascii="Times New Roman" w:hAnsi="Times New Roman" w:cs="Times New Roman"/>
                <w:sz w:val="26"/>
                <w:szCs w:val="26"/>
              </w:rPr>
              <w:tab/>
              <w:t>resultado por tenencia de activos no monetarios.</w:t>
            </w:r>
          </w:p>
          <w:p w:rsidR="00AF1F26" w:rsidRPr="00133367" w:rsidRDefault="00AF1F26" w:rsidP="00174CFA">
            <w:pPr>
              <w:pStyle w:val="Texto"/>
              <w:spacing w:after="0" w:line="240" w:lineRule="auto"/>
              <w:ind w:hanging="396"/>
              <w:contextualSpacing/>
              <w:rPr>
                <w:rFonts w:ascii="Times New Roman" w:hAnsi="Times New Roman" w:cs="Times New Roman"/>
                <w:sz w:val="26"/>
                <w:szCs w:val="26"/>
              </w:rPr>
            </w:pPr>
          </w:p>
          <w:p w:rsidR="00F747A7" w:rsidRPr="00133367" w:rsidRDefault="008431A4" w:rsidP="00174CFA">
            <w:pPr>
              <w:pStyle w:val="Texto"/>
              <w:spacing w:after="0" w:line="240" w:lineRule="auto"/>
              <w:ind w:firstLine="0"/>
              <w:contextualSpacing/>
              <w:rPr>
                <w:rFonts w:ascii="Times New Roman" w:hAnsi="Times New Roman" w:cs="Times New Roman"/>
                <w:b/>
                <w:sz w:val="26"/>
                <w:szCs w:val="26"/>
              </w:rPr>
            </w:pPr>
            <w:r w:rsidRPr="00133367">
              <w:rPr>
                <w:rFonts w:ascii="Times New Roman" w:hAnsi="Times New Roman" w:cs="Times New Roman"/>
                <w:b/>
                <w:sz w:val="26"/>
                <w:szCs w:val="26"/>
              </w:rPr>
              <w:t xml:space="preserve">Estructura del estado de variaciones en el capital contable </w:t>
            </w:r>
          </w:p>
          <w:p w:rsidR="00AF1F26" w:rsidRPr="00133367" w:rsidRDefault="00AF1F26" w:rsidP="00174CFA">
            <w:pPr>
              <w:pStyle w:val="Texto"/>
              <w:spacing w:after="0" w:line="240" w:lineRule="auto"/>
              <w:ind w:firstLine="0"/>
              <w:contextualSpacing/>
              <w:rPr>
                <w:rFonts w:ascii="Times New Roman" w:hAnsi="Times New Roman" w:cs="Times New Roman"/>
                <w:sz w:val="26"/>
                <w:szCs w:val="26"/>
              </w:rPr>
            </w:pPr>
          </w:p>
        </w:tc>
        <w:tc>
          <w:tcPr>
            <w:tcW w:w="817" w:type="dxa"/>
          </w:tcPr>
          <w:p w:rsidR="00F747A7" w:rsidRPr="00133367" w:rsidRDefault="00F747A7" w:rsidP="00174CFA">
            <w:pPr>
              <w:pStyle w:val="Texto"/>
              <w:numPr>
                <w:ilvl w:val="0"/>
                <w:numId w:val="147"/>
              </w:numPr>
              <w:spacing w:after="0" w:line="240" w:lineRule="auto"/>
              <w:contextualSpacing/>
              <w:jc w:val="left"/>
              <w:rPr>
                <w:rFonts w:ascii="Times New Roman" w:hAnsi="Times New Roman" w:cs="Times New Roman"/>
                <w:sz w:val="20"/>
              </w:rPr>
            </w:pPr>
          </w:p>
        </w:tc>
      </w:tr>
      <w:tr w:rsidR="00F747A7" w:rsidRPr="00133367" w:rsidTr="009F1FA5">
        <w:tc>
          <w:tcPr>
            <w:tcW w:w="8323" w:type="dxa"/>
          </w:tcPr>
          <w:p w:rsidR="00F747A7" w:rsidRPr="00133367" w:rsidRDefault="008431A4" w:rsidP="00174CFA">
            <w:pPr>
              <w:pStyle w:val="Texto"/>
              <w:spacing w:after="0" w:line="240" w:lineRule="auto"/>
              <w:ind w:firstLine="0"/>
              <w:contextualSpacing/>
              <w:rPr>
                <w:rFonts w:ascii="Times New Roman" w:hAnsi="Times New Roman" w:cs="Times New Roman"/>
                <w:sz w:val="26"/>
                <w:szCs w:val="26"/>
              </w:rPr>
            </w:pPr>
            <w:r w:rsidRPr="00133367">
              <w:rPr>
                <w:rFonts w:ascii="Times New Roman" w:hAnsi="Times New Roman" w:cs="Times New Roman"/>
                <w:sz w:val="26"/>
                <w:szCs w:val="26"/>
              </w:rPr>
              <w:t xml:space="preserve">El estado de variaciones en el capital contable incluirá la totalidad de los conceptos que integran el capital contable; la valuación de los mismos se efectuará de conformidad con los criterios de contabilidad para </w:t>
            </w:r>
            <w:r w:rsidRPr="004C1600">
              <w:rPr>
                <w:rFonts w:ascii="Times New Roman" w:hAnsi="Times New Roman" w:cs="Times New Roman"/>
                <w:sz w:val="26"/>
                <w:szCs w:val="26"/>
              </w:rPr>
              <w:t>sociedades financieras populares</w:t>
            </w:r>
            <w:r w:rsidR="009E0D7A">
              <w:rPr>
                <w:rFonts w:ascii="Times New Roman" w:hAnsi="Times New Roman" w:cs="Times New Roman"/>
                <w:sz w:val="26"/>
                <w:szCs w:val="26"/>
              </w:rPr>
              <w:t>, sociedades financieras</w:t>
            </w:r>
            <w:r w:rsidRPr="00133367">
              <w:rPr>
                <w:rFonts w:ascii="Times New Roman" w:hAnsi="Times New Roman" w:cs="Times New Roman"/>
                <w:sz w:val="26"/>
                <w:szCs w:val="26"/>
              </w:rPr>
              <w:t xml:space="preserve"> comunitarias</w:t>
            </w:r>
            <w:r w:rsidR="009E0D7A">
              <w:rPr>
                <w:rFonts w:ascii="Times New Roman" w:hAnsi="Times New Roman" w:cs="Times New Roman"/>
                <w:sz w:val="26"/>
                <w:szCs w:val="26"/>
              </w:rPr>
              <w:t xml:space="preserve"> y</w:t>
            </w:r>
            <w:r w:rsidRPr="00133367">
              <w:rPr>
                <w:rFonts w:ascii="Times New Roman" w:hAnsi="Times New Roman" w:cs="Times New Roman"/>
                <w:sz w:val="26"/>
                <w:szCs w:val="26"/>
              </w:rPr>
              <w:t xml:space="preserve"> organismos de integración financiera rural</w:t>
            </w:r>
            <w:r w:rsidR="00D832DA" w:rsidRPr="00133367">
              <w:rPr>
                <w:rFonts w:ascii="Times New Roman" w:hAnsi="Times New Roman" w:cs="Times New Roman"/>
                <w:sz w:val="26"/>
                <w:szCs w:val="26"/>
              </w:rPr>
              <w:t xml:space="preserve"> </w:t>
            </w:r>
            <w:r w:rsidRPr="00133367">
              <w:rPr>
                <w:rFonts w:ascii="Times New Roman" w:hAnsi="Times New Roman" w:cs="Times New Roman"/>
                <w:sz w:val="26"/>
                <w:szCs w:val="26"/>
              </w:rPr>
              <w:t>correspondientes. Dichos conceptos se enuncian a continuación:</w:t>
            </w:r>
          </w:p>
          <w:p w:rsidR="008F6EE7" w:rsidRPr="00133367" w:rsidRDefault="008431A4" w:rsidP="00133367">
            <w:pPr>
              <w:pStyle w:val="Texto"/>
              <w:numPr>
                <w:ilvl w:val="0"/>
                <w:numId w:val="22"/>
              </w:numPr>
              <w:tabs>
                <w:tab w:val="clear" w:pos="720"/>
                <w:tab w:val="left" w:pos="291"/>
              </w:tabs>
              <w:spacing w:after="0" w:line="240" w:lineRule="auto"/>
              <w:ind w:left="282" w:hanging="282"/>
              <w:contextualSpacing/>
              <w:rPr>
                <w:rFonts w:ascii="Times New Roman" w:hAnsi="Times New Roman" w:cs="Times New Roman"/>
                <w:sz w:val="26"/>
                <w:szCs w:val="26"/>
              </w:rPr>
            </w:pPr>
            <w:r w:rsidRPr="00133367">
              <w:rPr>
                <w:rFonts w:ascii="Times New Roman" w:hAnsi="Times New Roman" w:cs="Times New Roman"/>
                <w:sz w:val="26"/>
                <w:szCs w:val="26"/>
              </w:rPr>
              <w:t>capital social;</w:t>
            </w:r>
          </w:p>
          <w:p w:rsidR="00F747A7" w:rsidRPr="00133367" w:rsidRDefault="008431A4" w:rsidP="00174CFA">
            <w:pPr>
              <w:pStyle w:val="Texto"/>
              <w:numPr>
                <w:ilvl w:val="0"/>
                <w:numId w:val="22"/>
              </w:numPr>
              <w:tabs>
                <w:tab w:val="clear" w:pos="720"/>
                <w:tab w:val="left" w:pos="282"/>
              </w:tabs>
              <w:spacing w:after="0" w:line="240" w:lineRule="auto"/>
              <w:ind w:left="282" w:hanging="284"/>
              <w:contextualSpacing/>
              <w:rPr>
                <w:rFonts w:ascii="Times New Roman" w:hAnsi="Times New Roman" w:cs="Times New Roman"/>
                <w:sz w:val="26"/>
                <w:szCs w:val="26"/>
              </w:rPr>
            </w:pPr>
            <w:r w:rsidRPr="00133367">
              <w:rPr>
                <w:rFonts w:ascii="Times New Roman" w:hAnsi="Times New Roman" w:cs="Times New Roman"/>
                <w:sz w:val="26"/>
                <w:szCs w:val="26"/>
              </w:rPr>
              <w:t xml:space="preserve">aportaciones para futuros aumentos de capital formalizadas </w:t>
            </w:r>
            <w:r w:rsidR="007A096B" w:rsidRPr="00133367">
              <w:rPr>
                <w:rFonts w:ascii="Times New Roman" w:hAnsi="Times New Roman" w:cs="Times New Roman"/>
                <w:sz w:val="26"/>
                <w:szCs w:val="26"/>
              </w:rPr>
              <w:t>por su consejo de administración;</w:t>
            </w:r>
            <w:r w:rsidRPr="00133367">
              <w:rPr>
                <w:rFonts w:ascii="Times New Roman" w:hAnsi="Times New Roman" w:cs="Times New Roman"/>
                <w:sz w:val="26"/>
                <w:szCs w:val="26"/>
              </w:rPr>
              <w:t xml:space="preserve"> </w:t>
            </w:r>
          </w:p>
          <w:p w:rsidR="00F747A7" w:rsidRPr="00133367" w:rsidRDefault="008431A4" w:rsidP="00174CFA">
            <w:pPr>
              <w:pStyle w:val="Texto"/>
              <w:numPr>
                <w:ilvl w:val="0"/>
                <w:numId w:val="22"/>
              </w:numPr>
              <w:tabs>
                <w:tab w:val="clear" w:pos="720"/>
                <w:tab w:val="left" w:pos="306"/>
              </w:tabs>
              <w:spacing w:after="0" w:line="240" w:lineRule="auto"/>
              <w:ind w:left="0" w:firstLine="0"/>
              <w:contextualSpacing/>
              <w:rPr>
                <w:rFonts w:ascii="Times New Roman" w:hAnsi="Times New Roman" w:cs="Times New Roman"/>
                <w:sz w:val="26"/>
                <w:szCs w:val="26"/>
              </w:rPr>
            </w:pPr>
            <w:r w:rsidRPr="00133367">
              <w:rPr>
                <w:rFonts w:ascii="Times New Roman" w:hAnsi="Times New Roman" w:cs="Times New Roman"/>
                <w:sz w:val="26"/>
                <w:szCs w:val="26"/>
              </w:rPr>
              <w:t>prima en venta de acciones;</w:t>
            </w:r>
          </w:p>
          <w:p w:rsidR="00F747A7" w:rsidRPr="00133367" w:rsidRDefault="008431A4" w:rsidP="00174CFA">
            <w:pPr>
              <w:pStyle w:val="Texto"/>
              <w:numPr>
                <w:ilvl w:val="0"/>
                <w:numId w:val="22"/>
              </w:numPr>
              <w:tabs>
                <w:tab w:val="clear" w:pos="720"/>
                <w:tab w:val="left" w:pos="306"/>
              </w:tabs>
              <w:spacing w:after="0" w:line="240" w:lineRule="auto"/>
              <w:ind w:left="0" w:firstLine="0"/>
              <w:contextualSpacing/>
              <w:rPr>
                <w:rFonts w:ascii="Times New Roman" w:hAnsi="Times New Roman" w:cs="Times New Roman"/>
                <w:sz w:val="26"/>
                <w:szCs w:val="26"/>
              </w:rPr>
            </w:pPr>
            <w:r w:rsidRPr="00133367">
              <w:rPr>
                <w:rFonts w:ascii="Times New Roman" w:hAnsi="Times New Roman" w:cs="Times New Roman"/>
                <w:sz w:val="26"/>
                <w:szCs w:val="26"/>
              </w:rPr>
              <w:t>obligaciones subordinadas en circulación;</w:t>
            </w:r>
          </w:p>
          <w:p w:rsidR="003C1D75" w:rsidRPr="00133367" w:rsidRDefault="003C1D75" w:rsidP="003C1D75">
            <w:pPr>
              <w:pStyle w:val="Texto"/>
              <w:numPr>
                <w:ilvl w:val="0"/>
                <w:numId w:val="22"/>
              </w:numPr>
              <w:tabs>
                <w:tab w:val="clear" w:pos="720"/>
                <w:tab w:val="left" w:pos="291"/>
              </w:tabs>
              <w:spacing w:after="0" w:line="240" w:lineRule="auto"/>
              <w:ind w:left="282" w:hanging="282"/>
              <w:contextualSpacing/>
              <w:rPr>
                <w:rFonts w:ascii="Times New Roman" w:hAnsi="Times New Roman" w:cs="Times New Roman"/>
                <w:sz w:val="26"/>
                <w:szCs w:val="26"/>
              </w:rPr>
            </w:pPr>
            <w:r w:rsidRPr="00133367">
              <w:rPr>
                <w:rFonts w:ascii="Times New Roman" w:hAnsi="Times New Roman" w:cs="Times New Roman"/>
                <w:sz w:val="26"/>
                <w:szCs w:val="26"/>
              </w:rPr>
              <w:t>aportaciones de sociedades financieras comunitarias;</w:t>
            </w:r>
          </w:p>
          <w:p w:rsidR="003C1D75" w:rsidRPr="00133367" w:rsidRDefault="003C1D75" w:rsidP="003C1D75">
            <w:pPr>
              <w:pStyle w:val="Texto"/>
              <w:numPr>
                <w:ilvl w:val="0"/>
                <w:numId w:val="22"/>
              </w:numPr>
              <w:tabs>
                <w:tab w:val="clear" w:pos="720"/>
                <w:tab w:val="left" w:pos="291"/>
              </w:tabs>
              <w:spacing w:after="0" w:line="240" w:lineRule="auto"/>
              <w:ind w:left="282" w:hanging="282"/>
              <w:contextualSpacing/>
              <w:rPr>
                <w:rFonts w:ascii="Times New Roman" w:hAnsi="Times New Roman" w:cs="Times New Roman"/>
                <w:sz w:val="26"/>
                <w:szCs w:val="26"/>
              </w:rPr>
            </w:pPr>
            <w:r w:rsidRPr="00133367">
              <w:rPr>
                <w:rFonts w:ascii="Times New Roman" w:hAnsi="Times New Roman" w:cs="Times New Roman"/>
                <w:sz w:val="26"/>
                <w:szCs w:val="26"/>
              </w:rPr>
              <w:t>patrimonio fundacional;</w:t>
            </w:r>
          </w:p>
          <w:p w:rsidR="004718AB" w:rsidRPr="00133367" w:rsidRDefault="004718AB" w:rsidP="003C1D75">
            <w:pPr>
              <w:pStyle w:val="Texto"/>
              <w:numPr>
                <w:ilvl w:val="0"/>
                <w:numId w:val="22"/>
              </w:numPr>
              <w:tabs>
                <w:tab w:val="clear" w:pos="720"/>
                <w:tab w:val="left" w:pos="291"/>
              </w:tabs>
              <w:spacing w:after="0" w:line="240" w:lineRule="auto"/>
              <w:ind w:left="282" w:hanging="282"/>
              <w:contextualSpacing/>
              <w:rPr>
                <w:rFonts w:ascii="Times New Roman" w:hAnsi="Times New Roman" w:cs="Times New Roman"/>
                <w:sz w:val="26"/>
                <w:szCs w:val="26"/>
              </w:rPr>
            </w:pPr>
            <w:r w:rsidRPr="00F87445">
              <w:rPr>
                <w:rFonts w:ascii="Times New Roman" w:hAnsi="Times New Roman" w:cs="Times New Roman"/>
                <w:sz w:val="26"/>
                <w:szCs w:val="26"/>
              </w:rPr>
              <w:lastRenderedPageBreak/>
              <w:t>Efecto por incorporación al régimen de sociedades financieras populares;</w:t>
            </w:r>
          </w:p>
          <w:p w:rsidR="00F747A7" w:rsidRPr="00133367" w:rsidRDefault="00135B4A" w:rsidP="00174CFA">
            <w:pPr>
              <w:pStyle w:val="Texto"/>
              <w:numPr>
                <w:ilvl w:val="0"/>
                <w:numId w:val="22"/>
              </w:numPr>
              <w:tabs>
                <w:tab w:val="clear" w:pos="720"/>
                <w:tab w:val="left" w:pos="306"/>
              </w:tabs>
              <w:spacing w:after="0" w:line="240" w:lineRule="auto"/>
              <w:ind w:left="0" w:firstLine="0"/>
              <w:contextualSpacing/>
              <w:rPr>
                <w:rFonts w:ascii="Times New Roman" w:hAnsi="Times New Roman" w:cs="Times New Roman"/>
                <w:sz w:val="26"/>
                <w:szCs w:val="26"/>
              </w:rPr>
            </w:pPr>
            <w:r w:rsidRPr="00133367">
              <w:rPr>
                <w:rFonts w:ascii="Times New Roman" w:hAnsi="Times New Roman" w:cs="Times New Roman"/>
                <w:sz w:val="26"/>
                <w:szCs w:val="26"/>
              </w:rPr>
              <w:t>reservas de capital</w:t>
            </w:r>
            <w:r w:rsidR="008431A4" w:rsidRPr="00133367">
              <w:rPr>
                <w:rFonts w:ascii="Times New Roman" w:hAnsi="Times New Roman" w:cs="Times New Roman"/>
                <w:sz w:val="26"/>
                <w:szCs w:val="26"/>
              </w:rPr>
              <w:t>;</w:t>
            </w:r>
          </w:p>
          <w:p w:rsidR="00F747A7" w:rsidRPr="00133367" w:rsidRDefault="008431A4" w:rsidP="00174CFA">
            <w:pPr>
              <w:pStyle w:val="Texto"/>
              <w:numPr>
                <w:ilvl w:val="0"/>
                <w:numId w:val="22"/>
              </w:numPr>
              <w:tabs>
                <w:tab w:val="clear" w:pos="720"/>
                <w:tab w:val="left" w:pos="306"/>
              </w:tabs>
              <w:spacing w:after="0" w:line="240" w:lineRule="auto"/>
              <w:ind w:left="0" w:firstLine="0"/>
              <w:contextualSpacing/>
              <w:rPr>
                <w:rFonts w:ascii="Times New Roman" w:hAnsi="Times New Roman" w:cs="Times New Roman"/>
                <w:sz w:val="26"/>
                <w:szCs w:val="26"/>
              </w:rPr>
            </w:pPr>
            <w:r w:rsidRPr="00133367">
              <w:rPr>
                <w:rFonts w:ascii="Times New Roman" w:hAnsi="Times New Roman" w:cs="Times New Roman"/>
                <w:sz w:val="26"/>
                <w:szCs w:val="26"/>
              </w:rPr>
              <w:t>resultado de ejercicios anteriores;</w:t>
            </w:r>
          </w:p>
          <w:p w:rsidR="00F747A7" w:rsidRPr="00133367" w:rsidRDefault="008431A4" w:rsidP="00174CFA">
            <w:pPr>
              <w:pStyle w:val="Texto"/>
              <w:numPr>
                <w:ilvl w:val="0"/>
                <w:numId w:val="22"/>
              </w:numPr>
              <w:tabs>
                <w:tab w:val="clear" w:pos="720"/>
                <w:tab w:val="left" w:pos="306"/>
              </w:tabs>
              <w:spacing w:after="0" w:line="240" w:lineRule="auto"/>
              <w:ind w:left="0" w:firstLine="0"/>
              <w:contextualSpacing/>
              <w:rPr>
                <w:rFonts w:ascii="Times New Roman" w:hAnsi="Times New Roman" w:cs="Times New Roman"/>
                <w:sz w:val="26"/>
                <w:szCs w:val="26"/>
              </w:rPr>
            </w:pPr>
            <w:r w:rsidRPr="00133367">
              <w:rPr>
                <w:rFonts w:ascii="Times New Roman" w:hAnsi="Times New Roman" w:cs="Times New Roman"/>
                <w:sz w:val="26"/>
                <w:szCs w:val="26"/>
              </w:rPr>
              <w:t>resultado por valuación de títulos disponibles para la venta;</w:t>
            </w:r>
          </w:p>
          <w:p w:rsidR="00F747A7" w:rsidRPr="00133367" w:rsidRDefault="008431A4" w:rsidP="00174CFA">
            <w:pPr>
              <w:pStyle w:val="Texto"/>
              <w:numPr>
                <w:ilvl w:val="0"/>
                <w:numId w:val="22"/>
              </w:numPr>
              <w:tabs>
                <w:tab w:val="clear" w:pos="720"/>
                <w:tab w:val="left" w:pos="306"/>
              </w:tabs>
              <w:spacing w:after="0" w:line="240" w:lineRule="auto"/>
              <w:ind w:left="0" w:firstLine="0"/>
              <w:contextualSpacing/>
              <w:rPr>
                <w:rFonts w:ascii="Times New Roman" w:hAnsi="Times New Roman" w:cs="Times New Roman"/>
                <w:sz w:val="26"/>
                <w:szCs w:val="26"/>
              </w:rPr>
            </w:pPr>
            <w:r w:rsidRPr="00133367">
              <w:rPr>
                <w:rFonts w:ascii="Times New Roman" w:hAnsi="Times New Roman" w:cs="Times New Roman"/>
                <w:sz w:val="26"/>
                <w:szCs w:val="26"/>
              </w:rPr>
              <w:t>resultado por tenencia de activos no monetarios, y</w:t>
            </w:r>
          </w:p>
          <w:p w:rsidR="00F747A7" w:rsidRPr="00133367" w:rsidRDefault="008431A4" w:rsidP="00174CFA">
            <w:pPr>
              <w:pStyle w:val="Texto"/>
              <w:numPr>
                <w:ilvl w:val="0"/>
                <w:numId w:val="22"/>
              </w:numPr>
              <w:tabs>
                <w:tab w:val="clear" w:pos="720"/>
                <w:tab w:val="left" w:pos="306"/>
              </w:tabs>
              <w:spacing w:after="0" w:line="240" w:lineRule="auto"/>
              <w:ind w:left="0" w:firstLine="0"/>
              <w:contextualSpacing/>
              <w:rPr>
                <w:rFonts w:ascii="Times New Roman" w:hAnsi="Times New Roman" w:cs="Times New Roman"/>
                <w:sz w:val="26"/>
                <w:szCs w:val="26"/>
              </w:rPr>
            </w:pPr>
            <w:r w:rsidRPr="00133367">
              <w:rPr>
                <w:rFonts w:ascii="Times New Roman" w:hAnsi="Times New Roman" w:cs="Times New Roman"/>
                <w:sz w:val="26"/>
                <w:szCs w:val="26"/>
              </w:rPr>
              <w:t>resultado neto.</w:t>
            </w:r>
          </w:p>
          <w:p w:rsidR="002D7FA0" w:rsidRPr="00133367" w:rsidRDefault="002D7FA0" w:rsidP="00174CFA">
            <w:pPr>
              <w:pStyle w:val="Texto"/>
              <w:spacing w:after="0" w:line="240" w:lineRule="auto"/>
              <w:ind w:firstLine="0"/>
              <w:contextualSpacing/>
              <w:rPr>
                <w:rFonts w:ascii="Times New Roman" w:hAnsi="Times New Roman" w:cs="Times New Roman"/>
                <w:sz w:val="26"/>
                <w:szCs w:val="26"/>
              </w:rPr>
            </w:pPr>
          </w:p>
          <w:p w:rsidR="00F747A7" w:rsidRPr="00133367" w:rsidRDefault="008431A4" w:rsidP="00174CFA">
            <w:pPr>
              <w:pStyle w:val="Texto"/>
              <w:spacing w:after="0" w:line="240" w:lineRule="auto"/>
              <w:ind w:firstLine="0"/>
              <w:contextualSpacing/>
              <w:rPr>
                <w:rFonts w:ascii="Times New Roman" w:hAnsi="Times New Roman" w:cs="Times New Roman"/>
                <w:b/>
                <w:sz w:val="26"/>
                <w:szCs w:val="26"/>
              </w:rPr>
            </w:pPr>
            <w:r w:rsidRPr="00133367">
              <w:rPr>
                <w:rFonts w:ascii="Times New Roman" w:hAnsi="Times New Roman" w:cs="Times New Roman"/>
                <w:b/>
                <w:sz w:val="26"/>
                <w:szCs w:val="26"/>
              </w:rPr>
              <w:t>Presentación del estado de variaciones en el capital contable</w:t>
            </w:r>
          </w:p>
          <w:p w:rsidR="002D7FA0" w:rsidRPr="00133367" w:rsidRDefault="002D7FA0" w:rsidP="00174CFA">
            <w:pPr>
              <w:pStyle w:val="Texto"/>
              <w:spacing w:after="0" w:line="240" w:lineRule="auto"/>
              <w:ind w:firstLine="0"/>
              <w:contextualSpacing/>
              <w:rPr>
                <w:rFonts w:ascii="Times New Roman" w:hAnsi="Times New Roman" w:cs="Times New Roman"/>
                <w:i/>
                <w:sz w:val="26"/>
                <w:szCs w:val="26"/>
                <w:u w:val="single"/>
              </w:rPr>
            </w:pPr>
          </w:p>
        </w:tc>
        <w:tc>
          <w:tcPr>
            <w:tcW w:w="817" w:type="dxa"/>
          </w:tcPr>
          <w:p w:rsidR="00F747A7" w:rsidRPr="00133367" w:rsidRDefault="00F747A7" w:rsidP="00174CFA">
            <w:pPr>
              <w:pStyle w:val="Texto"/>
              <w:numPr>
                <w:ilvl w:val="0"/>
                <w:numId w:val="147"/>
              </w:numPr>
              <w:spacing w:after="0" w:line="240" w:lineRule="auto"/>
              <w:contextualSpacing/>
              <w:jc w:val="left"/>
              <w:rPr>
                <w:rFonts w:ascii="Times New Roman" w:hAnsi="Times New Roman" w:cs="Times New Roman"/>
                <w:sz w:val="20"/>
              </w:rPr>
            </w:pPr>
          </w:p>
        </w:tc>
      </w:tr>
      <w:tr w:rsidR="00F747A7" w:rsidRPr="00133367" w:rsidTr="009F1FA5">
        <w:tc>
          <w:tcPr>
            <w:tcW w:w="8323" w:type="dxa"/>
          </w:tcPr>
          <w:p w:rsidR="00F747A7" w:rsidRPr="00133367" w:rsidRDefault="008431A4" w:rsidP="00174CFA">
            <w:pPr>
              <w:pStyle w:val="Texto"/>
              <w:spacing w:after="0" w:line="240" w:lineRule="auto"/>
              <w:ind w:firstLine="0"/>
              <w:contextualSpacing/>
              <w:rPr>
                <w:rFonts w:ascii="Times New Roman" w:hAnsi="Times New Roman" w:cs="Times New Roman"/>
                <w:sz w:val="26"/>
                <w:szCs w:val="26"/>
              </w:rPr>
            </w:pPr>
            <w:r w:rsidRPr="00133367">
              <w:rPr>
                <w:rFonts w:ascii="Times New Roman" w:hAnsi="Times New Roman" w:cs="Times New Roman"/>
                <w:sz w:val="26"/>
                <w:szCs w:val="26"/>
              </w:rPr>
              <w:lastRenderedPageBreak/>
              <w:t>Los conceptos descritos anteriormente, corresponden a los mínimos requeridos para la presentación del estado de variaciones en el capital contable, sin embargo, las entidades deberán desglosar, ya sea en el citado estado de variaciones en el capital contable o mediante notas a los estados financieros, el contenido de los conceptos que consideren necesarios para mostrar la situación financiera de la entidad al usuario de la información financiera. En la parte final del presente criterio se muestra un estado de variaciones en el capital contable preparado con los conceptos mínimos a que se refiere el párrafo anterior.</w:t>
            </w:r>
          </w:p>
          <w:p w:rsidR="002D7FA0" w:rsidRPr="00133367" w:rsidRDefault="002D7FA0" w:rsidP="00174CFA">
            <w:pPr>
              <w:pStyle w:val="Texto"/>
              <w:spacing w:after="0" w:line="240" w:lineRule="auto"/>
              <w:ind w:firstLine="0"/>
              <w:contextualSpacing/>
              <w:rPr>
                <w:rFonts w:ascii="Times New Roman" w:hAnsi="Times New Roman" w:cs="Times New Roman"/>
                <w:sz w:val="26"/>
                <w:szCs w:val="26"/>
              </w:rPr>
            </w:pPr>
          </w:p>
          <w:p w:rsidR="00F747A7" w:rsidRPr="00133367" w:rsidRDefault="008431A4" w:rsidP="00174CFA">
            <w:pPr>
              <w:pStyle w:val="Texto"/>
              <w:spacing w:after="0" w:line="240" w:lineRule="auto"/>
              <w:ind w:firstLine="0"/>
              <w:contextualSpacing/>
              <w:rPr>
                <w:rFonts w:ascii="Times New Roman" w:hAnsi="Times New Roman" w:cs="Times New Roman"/>
                <w:b/>
                <w:sz w:val="26"/>
                <w:szCs w:val="26"/>
              </w:rPr>
            </w:pPr>
            <w:r w:rsidRPr="00133367">
              <w:rPr>
                <w:rFonts w:ascii="Times New Roman" w:hAnsi="Times New Roman" w:cs="Times New Roman"/>
                <w:b/>
                <w:sz w:val="26"/>
                <w:szCs w:val="26"/>
              </w:rPr>
              <w:t>Características de los conceptos que componen la estructura del estado de variaciones en el capital contable</w:t>
            </w:r>
          </w:p>
          <w:p w:rsidR="002D7FA0" w:rsidRPr="00133367" w:rsidRDefault="002D7FA0" w:rsidP="00174CFA">
            <w:pPr>
              <w:pStyle w:val="Texto"/>
              <w:spacing w:after="0" w:line="240" w:lineRule="auto"/>
              <w:ind w:firstLine="0"/>
              <w:contextualSpacing/>
              <w:rPr>
                <w:rFonts w:ascii="Times New Roman" w:hAnsi="Times New Roman" w:cs="Times New Roman"/>
                <w:b/>
                <w:sz w:val="26"/>
                <w:szCs w:val="26"/>
              </w:rPr>
            </w:pPr>
          </w:p>
        </w:tc>
        <w:tc>
          <w:tcPr>
            <w:tcW w:w="817" w:type="dxa"/>
          </w:tcPr>
          <w:p w:rsidR="00F747A7" w:rsidRPr="00133367" w:rsidRDefault="00F747A7" w:rsidP="00174CFA">
            <w:pPr>
              <w:pStyle w:val="Texto"/>
              <w:numPr>
                <w:ilvl w:val="0"/>
                <w:numId w:val="147"/>
              </w:numPr>
              <w:spacing w:after="0" w:line="240" w:lineRule="auto"/>
              <w:contextualSpacing/>
              <w:jc w:val="left"/>
              <w:rPr>
                <w:rFonts w:ascii="Times New Roman" w:hAnsi="Times New Roman" w:cs="Times New Roman"/>
                <w:sz w:val="20"/>
              </w:rPr>
            </w:pPr>
          </w:p>
        </w:tc>
      </w:tr>
      <w:tr w:rsidR="00F747A7" w:rsidRPr="00133367" w:rsidTr="009F1FA5">
        <w:tc>
          <w:tcPr>
            <w:tcW w:w="8323" w:type="dxa"/>
          </w:tcPr>
          <w:p w:rsidR="002D7FA0" w:rsidRPr="00133367" w:rsidRDefault="008431A4" w:rsidP="00174CFA">
            <w:pPr>
              <w:pStyle w:val="Texto"/>
              <w:spacing w:after="0" w:line="240" w:lineRule="auto"/>
              <w:ind w:firstLine="0"/>
              <w:contextualSpacing/>
              <w:rPr>
                <w:rFonts w:ascii="Times New Roman" w:hAnsi="Times New Roman" w:cs="Times New Roman"/>
                <w:sz w:val="26"/>
                <w:szCs w:val="26"/>
              </w:rPr>
            </w:pPr>
            <w:r w:rsidRPr="00133367">
              <w:rPr>
                <w:rFonts w:ascii="Times New Roman" w:hAnsi="Times New Roman" w:cs="Times New Roman"/>
                <w:sz w:val="26"/>
                <w:szCs w:val="26"/>
              </w:rPr>
              <w:t xml:space="preserve">Se deberán incorporar los movimientos a los conceptos descritos en el párrafo </w:t>
            </w:r>
            <w:r w:rsidR="009540CF" w:rsidRPr="00133367">
              <w:rPr>
                <w:rFonts w:ascii="Times New Roman" w:hAnsi="Times New Roman" w:cs="Times New Roman"/>
                <w:sz w:val="26"/>
                <w:szCs w:val="26"/>
              </w:rPr>
              <w:t>9,</w:t>
            </w:r>
            <w:r w:rsidRPr="00133367">
              <w:rPr>
                <w:rFonts w:ascii="Times New Roman" w:hAnsi="Times New Roman" w:cs="Times New Roman"/>
                <w:sz w:val="26"/>
                <w:szCs w:val="26"/>
              </w:rPr>
              <w:t xml:space="preserve"> de acuerdo al orden cronológico en el cual se presentaron los eventos:</w:t>
            </w:r>
          </w:p>
          <w:p w:rsidR="00F747A7" w:rsidRPr="00133367" w:rsidRDefault="008431A4" w:rsidP="00174CFA">
            <w:pPr>
              <w:pStyle w:val="Texto"/>
              <w:numPr>
                <w:ilvl w:val="0"/>
                <w:numId w:val="146"/>
              </w:numPr>
              <w:spacing w:after="0" w:line="240" w:lineRule="auto"/>
              <w:ind w:left="423" w:hanging="423"/>
              <w:contextualSpacing/>
              <w:rPr>
                <w:rFonts w:ascii="Times New Roman" w:hAnsi="Times New Roman" w:cs="Times New Roman"/>
                <w:i/>
                <w:sz w:val="26"/>
                <w:szCs w:val="26"/>
              </w:rPr>
            </w:pPr>
            <w:r w:rsidRPr="00133367">
              <w:rPr>
                <w:rFonts w:ascii="Times New Roman" w:hAnsi="Times New Roman" w:cs="Times New Roman"/>
                <w:i/>
                <w:sz w:val="26"/>
                <w:szCs w:val="26"/>
              </w:rPr>
              <w:t>Movimientos inherentes a las decisiones de los accionistas :</w:t>
            </w:r>
          </w:p>
          <w:p w:rsidR="00F747A7" w:rsidRPr="00133367" w:rsidRDefault="008431A4" w:rsidP="00174CFA">
            <w:pPr>
              <w:pStyle w:val="Texto"/>
              <w:spacing w:after="0" w:line="240" w:lineRule="auto"/>
              <w:ind w:left="423" w:firstLine="0"/>
              <w:contextualSpacing/>
              <w:rPr>
                <w:rFonts w:ascii="Times New Roman" w:hAnsi="Times New Roman" w:cs="Times New Roman"/>
                <w:sz w:val="26"/>
                <w:szCs w:val="26"/>
              </w:rPr>
            </w:pPr>
            <w:r w:rsidRPr="00133367">
              <w:rPr>
                <w:rFonts w:ascii="Times New Roman" w:hAnsi="Times New Roman" w:cs="Times New Roman"/>
                <w:sz w:val="26"/>
                <w:szCs w:val="26"/>
              </w:rPr>
              <w:t xml:space="preserve">Se deberán separar cada uno de los conceptos relativos a este tipo de decisiones, de conformidad con lo establecido en el párrafo </w:t>
            </w:r>
            <w:r w:rsidR="009540CF" w:rsidRPr="00133367">
              <w:rPr>
                <w:rFonts w:ascii="Times New Roman" w:hAnsi="Times New Roman" w:cs="Times New Roman"/>
                <w:sz w:val="26"/>
                <w:szCs w:val="26"/>
              </w:rPr>
              <w:t>7</w:t>
            </w:r>
            <w:r w:rsidRPr="00133367">
              <w:rPr>
                <w:rFonts w:ascii="Times New Roman" w:hAnsi="Times New Roman" w:cs="Times New Roman"/>
                <w:sz w:val="26"/>
                <w:szCs w:val="26"/>
              </w:rPr>
              <w:t xml:space="preserve"> del presente criterio, describiendo el concepto y la fecha en la cual fueron generados.</w:t>
            </w:r>
          </w:p>
          <w:p w:rsidR="00F747A7" w:rsidRPr="00133367" w:rsidRDefault="008431A4" w:rsidP="00174CFA">
            <w:pPr>
              <w:pStyle w:val="Texto"/>
              <w:spacing w:after="0" w:line="240" w:lineRule="auto"/>
              <w:ind w:left="423" w:hanging="423"/>
              <w:contextualSpacing/>
              <w:rPr>
                <w:rFonts w:ascii="Times New Roman" w:hAnsi="Times New Roman" w:cs="Times New Roman"/>
                <w:sz w:val="26"/>
                <w:szCs w:val="26"/>
              </w:rPr>
            </w:pPr>
            <w:r w:rsidRPr="00133367">
              <w:rPr>
                <w:rFonts w:ascii="Times New Roman" w:hAnsi="Times New Roman" w:cs="Times New Roman"/>
                <w:i/>
                <w:sz w:val="26"/>
                <w:szCs w:val="26"/>
              </w:rPr>
              <w:t>b)</w:t>
            </w:r>
            <w:r w:rsidRPr="00133367">
              <w:rPr>
                <w:rFonts w:ascii="Times New Roman" w:hAnsi="Times New Roman" w:cs="Times New Roman"/>
                <w:i/>
                <w:sz w:val="26"/>
                <w:szCs w:val="26"/>
              </w:rPr>
              <w:tab/>
              <w:t>Movimientos inherentes al reconocimiento de la utilidad integral:</w:t>
            </w:r>
          </w:p>
          <w:p w:rsidR="00F747A7" w:rsidRPr="00133367" w:rsidRDefault="008431A4" w:rsidP="00174CFA">
            <w:pPr>
              <w:pStyle w:val="Texto"/>
              <w:spacing w:after="0" w:line="240" w:lineRule="auto"/>
              <w:ind w:left="423" w:firstLine="0"/>
              <w:contextualSpacing/>
              <w:rPr>
                <w:rFonts w:ascii="Times New Roman" w:hAnsi="Times New Roman" w:cs="Times New Roman"/>
                <w:sz w:val="26"/>
                <w:szCs w:val="26"/>
              </w:rPr>
            </w:pPr>
            <w:r w:rsidRPr="00133367">
              <w:rPr>
                <w:rFonts w:ascii="Times New Roman" w:hAnsi="Times New Roman" w:cs="Times New Roman"/>
                <w:sz w:val="26"/>
                <w:szCs w:val="26"/>
              </w:rPr>
              <w:t xml:space="preserve">Se deberán separar de acuerdo al evento o criterio específico que los origina, de conformidad con los conceptos mencionados en el párrafo </w:t>
            </w:r>
            <w:r w:rsidR="00463F98" w:rsidRPr="00133367">
              <w:rPr>
                <w:rFonts w:ascii="Times New Roman" w:hAnsi="Times New Roman" w:cs="Times New Roman"/>
                <w:sz w:val="26"/>
                <w:szCs w:val="26"/>
              </w:rPr>
              <w:t>8</w:t>
            </w:r>
            <w:r w:rsidRPr="00133367">
              <w:rPr>
                <w:rFonts w:ascii="Times New Roman" w:hAnsi="Times New Roman" w:cs="Times New Roman"/>
                <w:sz w:val="26"/>
                <w:szCs w:val="26"/>
              </w:rPr>
              <w:t xml:space="preserve"> del presente criterio.</w:t>
            </w:r>
          </w:p>
          <w:p w:rsidR="009F687D" w:rsidRPr="00133367" w:rsidRDefault="009F687D" w:rsidP="00174CFA">
            <w:pPr>
              <w:pStyle w:val="Texto"/>
              <w:spacing w:after="0" w:line="240" w:lineRule="auto"/>
              <w:ind w:firstLine="0"/>
              <w:contextualSpacing/>
              <w:rPr>
                <w:rFonts w:ascii="Times New Roman" w:hAnsi="Times New Roman" w:cs="Times New Roman"/>
                <w:sz w:val="26"/>
                <w:szCs w:val="26"/>
              </w:rPr>
            </w:pPr>
          </w:p>
          <w:p w:rsidR="00F747A7" w:rsidRPr="00133367" w:rsidRDefault="008431A4" w:rsidP="00174CFA">
            <w:pPr>
              <w:pStyle w:val="Texto"/>
              <w:spacing w:after="0" w:line="240" w:lineRule="auto"/>
              <w:ind w:firstLine="0"/>
              <w:contextualSpacing/>
              <w:rPr>
                <w:rFonts w:ascii="Times New Roman" w:hAnsi="Times New Roman" w:cs="Times New Roman"/>
                <w:b/>
                <w:sz w:val="26"/>
                <w:szCs w:val="26"/>
              </w:rPr>
            </w:pPr>
            <w:r w:rsidRPr="00133367">
              <w:rPr>
                <w:rFonts w:ascii="Times New Roman" w:hAnsi="Times New Roman" w:cs="Times New Roman"/>
                <w:b/>
                <w:sz w:val="26"/>
                <w:szCs w:val="26"/>
              </w:rPr>
              <w:t>Consideraciones generales</w:t>
            </w:r>
          </w:p>
          <w:p w:rsidR="002D7FA0" w:rsidRPr="00133367" w:rsidRDefault="002D7FA0" w:rsidP="00174CFA">
            <w:pPr>
              <w:pStyle w:val="Texto"/>
              <w:spacing w:after="0" w:line="240" w:lineRule="auto"/>
              <w:ind w:firstLine="0"/>
              <w:contextualSpacing/>
              <w:rPr>
                <w:rFonts w:ascii="Times New Roman" w:hAnsi="Times New Roman" w:cs="Times New Roman"/>
                <w:sz w:val="26"/>
                <w:szCs w:val="26"/>
              </w:rPr>
            </w:pPr>
          </w:p>
        </w:tc>
        <w:tc>
          <w:tcPr>
            <w:tcW w:w="817" w:type="dxa"/>
          </w:tcPr>
          <w:p w:rsidR="00F747A7" w:rsidRPr="00133367" w:rsidRDefault="00F747A7" w:rsidP="00174CFA">
            <w:pPr>
              <w:pStyle w:val="Texto"/>
              <w:numPr>
                <w:ilvl w:val="0"/>
                <w:numId w:val="147"/>
              </w:numPr>
              <w:spacing w:after="0" w:line="240" w:lineRule="auto"/>
              <w:contextualSpacing/>
              <w:jc w:val="left"/>
              <w:rPr>
                <w:rFonts w:ascii="Times New Roman" w:hAnsi="Times New Roman" w:cs="Times New Roman"/>
                <w:sz w:val="20"/>
              </w:rPr>
            </w:pPr>
          </w:p>
        </w:tc>
      </w:tr>
      <w:tr w:rsidR="00F747A7" w:rsidRPr="00133367" w:rsidTr="009F1FA5">
        <w:tc>
          <w:tcPr>
            <w:tcW w:w="8323" w:type="dxa"/>
          </w:tcPr>
          <w:p w:rsidR="00F747A7" w:rsidRPr="00133367" w:rsidRDefault="008431A4" w:rsidP="00174CFA">
            <w:pPr>
              <w:pStyle w:val="Texto"/>
              <w:spacing w:after="0" w:line="240" w:lineRule="auto"/>
              <w:ind w:firstLine="0"/>
              <w:contextualSpacing/>
              <w:rPr>
                <w:rFonts w:ascii="Times New Roman" w:hAnsi="Times New Roman" w:cs="Times New Roman"/>
                <w:sz w:val="26"/>
                <w:szCs w:val="26"/>
              </w:rPr>
            </w:pPr>
            <w:r w:rsidRPr="00133367">
              <w:rPr>
                <w:rFonts w:ascii="Times New Roman" w:hAnsi="Times New Roman" w:cs="Times New Roman"/>
                <w:sz w:val="26"/>
                <w:szCs w:val="26"/>
              </w:rPr>
              <w:t>El estado de variaciones en el capital contable deberá indicar las variaciones de los periodos que se reportan; lo anterior implica partir de los saldos que integran el capital contable del periodo inicial, analizando los movimientos ocurridos a partir de esa fecha.</w:t>
            </w:r>
          </w:p>
          <w:p w:rsidR="002D7FA0" w:rsidRPr="00133367" w:rsidRDefault="002D7FA0" w:rsidP="00174CFA">
            <w:pPr>
              <w:pStyle w:val="Texto"/>
              <w:spacing w:after="0" w:line="240" w:lineRule="auto"/>
              <w:ind w:firstLine="0"/>
              <w:contextualSpacing/>
              <w:rPr>
                <w:rFonts w:ascii="Times New Roman" w:hAnsi="Times New Roman" w:cs="Times New Roman"/>
                <w:sz w:val="26"/>
                <w:szCs w:val="26"/>
              </w:rPr>
            </w:pPr>
          </w:p>
        </w:tc>
        <w:tc>
          <w:tcPr>
            <w:tcW w:w="817" w:type="dxa"/>
          </w:tcPr>
          <w:p w:rsidR="00F747A7" w:rsidRPr="00133367" w:rsidRDefault="00F747A7" w:rsidP="00174CFA">
            <w:pPr>
              <w:pStyle w:val="Texto"/>
              <w:numPr>
                <w:ilvl w:val="0"/>
                <w:numId w:val="147"/>
              </w:numPr>
              <w:spacing w:after="0" w:line="240" w:lineRule="auto"/>
              <w:contextualSpacing/>
              <w:jc w:val="left"/>
              <w:rPr>
                <w:rFonts w:ascii="Times New Roman" w:hAnsi="Times New Roman" w:cs="Times New Roman"/>
                <w:sz w:val="20"/>
              </w:rPr>
            </w:pPr>
          </w:p>
        </w:tc>
      </w:tr>
      <w:tr w:rsidR="00F747A7" w:rsidRPr="00133367" w:rsidTr="009F1FA5">
        <w:tc>
          <w:tcPr>
            <w:tcW w:w="8323" w:type="dxa"/>
          </w:tcPr>
          <w:p w:rsidR="008F6EE7" w:rsidRPr="00133367" w:rsidRDefault="008431A4" w:rsidP="00133367">
            <w:pPr>
              <w:pStyle w:val="Texto"/>
              <w:spacing w:after="0" w:line="240" w:lineRule="auto"/>
              <w:ind w:firstLine="0"/>
              <w:contextualSpacing/>
              <w:rPr>
                <w:rFonts w:ascii="Times New Roman" w:hAnsi="Times New Roman" w:cs="Times New Roman"/>
                <w:sz w:val="26"/>
                <w:szCs w:val="26"/>
              </w:rPr>
            </w:pPr>
            <w:r w:rsidRPr="00133367">
              <w:rPr>
                <w:rFonts w:ascii="Times New Roman" w:hAnsi="Times New Roman" w:cs="Times New Roman"/>
                <w:sz w:val="26"/>
                <w:szCs w:val="26"/>
              </w:rPr>
              <w:t xml:space="preserve">Asimismo, en caso de existir un entorno inflacionario todos los saldos y los movimientos incorporados en el estado de variaciones en el capital contable </w:t>
            </w:r>
            <w:r w:rsidRPr="00133367">
              <w:rPr>
                <w:rFonts w:ascii="Times New Roman" w:hAnsi="Times New Roman" w:cs="Times New Roman"/>
                <w:sz w:val="26"/>
                <w:szCs w:val="26"/>
              </w:rPr>
              <w:lastRenderedPageBreak/>
              <w:t>deberán mostrarse expresados en unidades monetarias de poder adquisitivo relativo a la fecha de presentación de los estados financieros.</w:t>
            </w:r>
          </w:p>
        </w:tc>
        <w:tc>
          <w:tcPr>
            <w:tcW w:w="817" w:type="dxa"/>
          </w:tcPr>
          <w:p w:rsidR="00F747A7" w:rsidRPr="00133367" w:rsidRDefault="00F747A7" w:rsidP="00174CFA">
            <w:pPr>
              <w:pStyle w:val="Texto"/>
              <w:numPr>
                <w:ilvl w:val="0"/>
                <w:numId w:val="147"/>
              </w:numPr>
              <w:spacing w:after="0" w:line="240" w:lineRule="auto"/>
              <w:contextualSpacing/>
              <w:jc w:val="left"/>
              <w:rPr>
                <w:rFonts w:ascii="Times New Roman" w:hAnsi="Times New Roman" w:cs="Times New Roman"/>
                <w:sz w:val="20"/>
              </w:rPr>
            </w:pPr>
          </w:p>
        </w:tc>
      </w:tr>
    </w:tbl>
    <w:p w:rsidR="00CA3169" w:rsidRPr="00133367" w:rsidRDefault="00CA3169" w:rsidP="00174CFA">
      <w:pPr>
        <w:contextualSpacing/>
        <w:rPr>
          <w:rFonts w:eastAsia="Times New Roman"/>
          <w:sz w:val="26"/>
          <w:szCs w:val="26"/>
          <w:lang w:eastAsia="es-ES"/>
        </w:rPr>
      </w:pPr>
    </w:p>
    <w:p w:rsidR="00CA3169" w:rsidRPr="00133367" w:rsidRDefault="00CA3169" w:rsidP="00174CFA">
      <w:pPr>
        <w:contextualSpacing/>
        <w:rPr>
          <w:rFonts w:eastAsia="Times New Roman"/>
          <w:sz w:val="26"/>
          <w:szCs w:val="26"/>
          <w:lang w:eastAsia="es-ES"/>
        </w:rPr>
        <w:sectPr w:rsidR="00CA3169" w:rsidRPr="00133367" w:rsidSect="009F687D">
          <w:headerReference w:type="default" r:id="rId9"/>
          <w:headerReference w:type="first" r:id="rId10"/>
          <w:pgSz w:w="12242" w:h="15842" w:code="1"/>
          <w:pgMar w:top="1985" w:right="1701" w:bottom="1134" w:left="1701" w:header="709" w:footer="709" w:gutter="0"/>
          <w:pgNumType w:start="1"/>
          <w:cols w:space="708"/>
          <w:titlePg/>
          <w:docGrid w:linePitch="360"/>
        </w:sectPr>
      </w:pPr>
    </w:p>
    <w:p w:rsidR="00CA3169" w:rsidRPr="00133367" w:rsidRDefault="00CA3169" w:rsidP="00CA3169">
      <w:pPr>
        <w:spacing w:after="120"/>
        <w:jc w:val="center"/>
        <w:rPr>
          <w:b/>
          <w:sz w:val="14"/>
          <w:szCs w:val="14"/>
        </w:rPr>
      </w:pPr>
      <w:r w:rsidRPr="00133367">
        <w:rPr>
          <w:b/>
          <w:sz w:val="14"/>
          <w:szCs w:val="14"/>
        </w:rPr>
        <w:lastRenderedPageBreak/>
        <w:t>NOMBRE DE LA ENTIDAD</w:t>
      </w:r>
    </w:p>
    <w:p w:rsidR="00CA3169" w:rsidRPr="00133367" w:rsidRDefault="00CA3169" w:rsidP="00CA3169">
      <w:pPr>
        <w:spacing w:after="120"/>
        <w:jc w:val="center"/>
        <w:rPr>
          <w:sz w:val="14"/>
          <w:szCs w:val="14"/>
        </w:rPr>
      </w:pPr>
      <w:r w:rsidRPr="00133367">
        <w:rPr>
          <w:sz w:val="14"/>
          <w:szCs w:val="14"/>
        </w:rPr>
        <w:t>NIVEL DE OPERACIONES CORRESPONDIENTE</w:t>
      </w:r>
    </w:p>
    <w:p w:rsidR="00CA3169" w:rsidRPr="00133367" w:rsidRDefault="00CA3169" w:rsidP="00CA3169">
      <w:pPr>
        <w:spacing w:after="120"/>
        <w:jc w:val="center"/>
        <w:rPr>
          <w:sz w:val="14"/>
          <w:szCs w:val="14"/>
        </w:rPr>
      </w:pPr>
      <w:r w:rsidRPr="00133367">
        <w:rPr>
          <w:sz w:val="14"/>
          <w:szCs w:val="14"/>
        </w:rPr>
        <w:t>DOMICILIO</w:t>
      </w:r>
    </w:p>
    <w:p w:rsidR="00CA3169" w:rsidRPr="00133367" w:rsidRDefault="00CA3169" w:rsidP="00CA3169">
      <w:pPr>
        <w:spacing w:after="120"/>
        <w:jc w:val="center"/>
        <w:rPr>
          <w:b/>
          <w:sz w:val="14"/>
          <w:szCs w:val="14"/>
        </w:rPr>
      </w:pPr>
      <w:r w:rsidRPr="00133367">
        <w:rPr>
          <w:b/>
          <w:sz w:val="14"/>
          <w:szCs w:val="14"/>
        </w:rPr>
        <w:t>ESTADO DE VARIACIONES EN EL CAPITAL CONTABLE DEL ______ DE ________________ DE _______ AL ______ DE _________________ DE ___________</w:t>
      </w:r>
    </w:p>
    <w:p w:rsidR="00CA3169" w:rsidRPr="00133367" w:rsidRDefault="00CA3169" w:rsidP="00CA3169">
      <w:pPr>
        <w:spacing w:after="120"/>
        <w:jc w:val="center"/>
        <w:rPr>
          <w:sz w:val="18"/>
          <w:szCs w:val="14"/>
          <w:vertAlign w:val="superscript"/>
        </w:rPr>
      </w:pPr>
      <w:r w:rsidRPr="00133367">
        <w:rPr>
          <w:sz w:val="14"/>
          <w:szCs w:val="14"/>
        </w:rPr>
        <w:t xml:space="preserve">EXPRESADOS EN MONEDA DE PODER ADQUISITIVO DE ________________DE __________ </w:t>
      </w:r>
      <w:r w:rsidRPr="00133367">
        <w:rPr>
          <w:sz w:val="18"/>
          <w:szCs w:val="14"/>
          <w:vertAlign w:val="superscript"/>
        </w:rPr>
        <w:t>(1)</w:t>
      </w:r>
    </w:p>
    <w:p w:rsidR="00CA3169" w:rsidRPr="00133367" w:rsidRDefault="00CA3169" w:rsidP="00CA3169">
      <w:pPr>
        <w:spacing w:after="120"/>
        <w:jc w:val="center"/>
        <w:rPr>
          <w:sz w:val="14"/>
          <w:szCs w:val="14"/>
        </w:rPr>
      </w:pPr>
      <w:r w:rsidRPr="00133367">
        <w:rPr>
          <w:sz w:val="14"/>
          <w:szCs w:val="14"/>
        </w:rPr>
        <w:t>(Cifras en miles de pesos)</w:t>
      </w:r>
    </w:p>
    <w:p w:rsidR="00256EEC" w:rsidRPr="00133367" w:rsidRDefault="00256EEC" w:rsidP="00CA3169">
      <w:pPr>
        <w:spacing w:after="120"/>
        <w:jc w:val="center"/>
        <w:rPr>
          <w:sz w:val="14"/>
          <w:szCs w:val="14"/>
        </w:rPr>
      </w:pPr>
    </w:p>
    <w:tbl>
      <w:tblPr>
        <w:tblStyle w:val="Tablaconcuadrcula"/>
        <w:tblW w:w="14885" w:type="dxa"/>
        <w:tblInd w:w="-318" w:type="dxa"/>
        <w:tblLayout w:type="fixed"/>
        <w:tblLook w:val="04A0" w:firstRow="1" w:lastRow="0" w:firstColumn="1" w:lastColumn="0" w:noHBand="0" w:noVBand="1"/>
      </w:tblPr>
      <w:tblGrid>
        <w:gridCol w:w="2127"/>
        <w:gridCol w:w="992"/>
        <w:gridCol w:w="1134"/>
        <w:gridCol w:w="142"/>
        <w:gridCol w:w="851"/>
        <w:gridCol w:w="1134"/>
        <w:gridCol w:w="992"/>
        <w:gridCol w:w="992"/>
        <w:gridCol w:w="1134"/>
        <w:gridCol w:w="851"/>
        <w:gridCol w:w="992"/>
        <w:gridCol w:w="1134"/>
        <w:gridCol w:w="850"/>
        <w:gridCol w:w="851"/>
        <w:gridCol w:w="709"/>
      </w:tblGrid>
      <w:tr w:rsidR="004718AB" w:rsidRPr="00133367" w:rsidTr="00E6189E">
        <w:tc>
          <w:tcPr>
            <w:tcW w:w="2127" w:type="dxa"/>
            <w:vMerge w:val="restart"/>
            <w:vAlign w:val="center"/>
          </w:tcPr>
          <w:p w:rsidR="004718AB" w:rsidRPr="00133367" w:rsidRDefault="004718AB" w:rsidP="00256EEC">
            <w:pPr>
              <w:jc w:val="center"/>
              <w:rPr>
                <w:b/>
                <w:sz w:val="13"/>
                <w:szCs w:val="13"/>
              </w:rPr>
            </w:pPr>
            <w:r w:rsidRPr="00133367">
              <w:rPr>
                <w:b/>
                <w:sz w:val="13"/>
                <w:szCs w:val="13"/>
              </w:rPr>
              <w:t>Concepto</w:t>
            </w:r>
          </w:p>
        </w:tc>
        <w:tc>
          <w:tcPr>
            <w:tcW w:w="7371" w:type="dxa"/>
            <w:gridSpan w:val="8"/>
            <w:vAlign w:val="center"/>
          </w:tcPr>
          <w:p w:rsidR="004718AB" w:rsidRPr="00133367" w:rsidRDefault="004718AB" w:rsidP="00256EEC">
            <w:pPr>
              <w:jc w:val="center"/>
              <w:rPr>
                <w:b/>
                <w:sz w:val="13"/>
                <w:szCs w:val="13"/>
              </w:rPr>
            </w:pPr>
            <w:r w:rsidRPr="00133367">
              <w:rPr>
                <w:b/>
                <w:sz w:val="13"/>
                <w:szCs w:val="13"/>
              </w:rPr>
              <w:t>Capital contribuido</w:t>
            </w:r>
          </w:p>
        </w:tc>
        <w:tc>
          <w:tcPr>
            <w:tcW w:w="4678" w:type="dxa"/>
            <w:gridSpan w:val="5"/>
            <w:vAlign w:val="center"/>
          </w:tcPr>
          <w:p w:rsidR="004718AB" w:rsidRPr="00133367" w:rsidRDefault="004718AB" w:rsidP="00256EEC">
            <w:pPr>
              <w:jc w:val="center"/>
              <w:rPr>
                <w:b/>
                <w:sz w:val="13"/>
                <w:szCs w:val="13"/>
              </w:rPr>
            </w:pPr>
            <w:r w:rsidRPr="00133367">
              <w:rPr>
                <w:b/>
                <w:sz w:val="13"/>
                <w:szCs w:val="13"/>
              </w:rPr>
              <w:t>Capital ganado</w:t>
            </w:r>
          </w:p>
        </w:tc>
        <w:tc>
          <w:tcPr>
            <w:tcW w:w="709" w:type="dxa"/>
            <w:vMerge w:val="restart"/>
            <w:vAlign w:val="center"/>
          </w:tcPr>
          <w:p w:rsidR="004718AB" w:rsidRPr="00133367" w:rsidRDefault="004718AB" w:rsidP="00256EEC">
            <w:pPr>
              <w:jc w:val="center"/>
              <w:rPr>
                <w:b/>
                <w:sz w:val="13"/>
                <w:szCs w:val="13"/>
              </w:rPr>
            </w:pPr>
            <w:r w:rsidRPr="00133367">
              <w:rPr>
                <w:b/>
                <w:sz w:val="13"/>
                <w:szCs w:val="13"/>
              </w:rPr>
              <w:t>Total capital contable</w:t>
            </w:r>
          </w:p>
        </w:tc>
      </w:tr>
      <w:tr w:rsidR="004718AB" w:rsidRPr="00133367" w:rsidTr="00E6189E">
        <w:tc>
          <w:tcPr>
            <w:tcW w:w="2127" w:type="dxa"/>
            <w:vMerge/>
            <w:tcBorders>
              <w:bottom w:val="single" w:sz="4" w:space="0" w:color="000000" w:themeColor="text1"/>
            </w:tcBorders>
            <w:vAlign w:val="center"/>
          </w:tcPr>
          <w:p w:rsidR="00EB58F0" w:rsidRPr="00133367" w:rsidRDefault="00EB58F0" w:rsidP="00256EEC">
            <w:pPr>
              <w:jc w:val="center"/>
              <w:rPr>
                <w:b/>
                <w:sz w:val="13"/>
                <w:szCs w:val="13"/>
              </w:rPr>
            </w:pPr>
          </w:p>
        </w:tc>
        <w:tc>
          <w:tcPr>
            <w:tcW w:w="992" w:type="dxa"/>
            <w:tcBorders>
              <w:bottom w:val="single" w:sz="4" w:space="0" w:color="000000" w:themeColor="text1"/>
            </w:tcBorders>
            <w:vAlign w:val="center"/>
          </w:tcPr>
          <w:p w:rsidR="00EB58F0" w:rsidRPr="00133367" w:rsidRDefault="00EB58F0" w:rsidP="00256EEC">
            <w:pPr>
              <w:jc w:val="center"/>
              <w:rPr>
                <w:b/>
                <w:sz w:val="13"/>
                <w:szCs w:val="13"/>
              </w:rPr>
            </w:pPr>
            <w:r w:rsidRPr="00133367">
              <w:rPr>
                <w:b/>
                <w:sz w:val="13"/>
                <w:szCs w:val="13"/>
              </w:rPr>
              <w:t>Capital social</w:t>
            </w:r>
          </w:p>
        </w:tc>
        <w:tc>
          <w:tcPr>
            <w:tcW w:w="1276" w:type="dxa"/>
            <w:gridSpan w:val="2"/>
            <w:tcBorders>
              <w:bottom w:val="single" w:sz="4" w:space="0" w:color="000000" w:themeColor="text1"/>
            </w:tcBorders>
            <w:vAlign w:val="center"/>
          </w:tcPr>
          <w:p w:rsidR="00EB58F0" w:rsidRPr="00133367" w:rsidRDefault="00EB58F0" w:rsidP="00256EEC">
            <w:pPr>
              <w:jc w:val="center"/>
              <w:rPr>
                <w:b/>
                <w:sz w:val="13"/>
                <w:szCs w:val="13"/>
              </w:rPr>
            </w:pPr>
            <w:r w:rsidRPr="00133367">
              <w:rPr>
                <w:b/>
                <w:sz w:val="13"/>
                <w:szCs w:val="13"/>
              </w:rPr>
              <w:t>Aportaciones para futuros aumentos de capital formalizadas por su consejo de administración</w:t>
            </w:r>
          </w:p>
        </w:tc>
        <w:tc>
          <w:tcPr>
            <w:tcW w:w="851" w:type="dxa"/>
            <w:tcBorders>
              <w:bottom w:val="single" w:sz="4" w:space="0" w:color="000000" w:themeColor="text1"/>
            </w:tcBorders>
            <w:vAlign w:val="center"/>
          </w:tcPr>
          <w:p w:rsidR="00EB58F0" w:rsidRPr="00133367" w:rsidRDefault="00EB58F0" w:rsidP="00256EEC">
            <w:pPr>
              <w:jc w:val="center"/>
              <w:rPr>
                <w:b/>
                <w:sz w:val="13"/>
                <w:szCs w:val="13"/>
              </w:rPr>
            </w:pPr>
            <w:r w:rsidRPr="00133367">
              <w:rPr>
                <w:b/>
                <w:sz w:val="13"/>
                <w:szCs w:val="13"/>
              </w:rPr>
              <w:t>Prima en venta de acciones</w:t>
            </w:r>
          </w:p>
        </w:tc>
        <w:tc>
          <w:tcPr>
            <w:tcW w:w="1134" w:type="dxa"/>
            <w:tcBorders>
              <w:bottom w:val="single" w:sz="4" w:space="0" w:color="000000" w:themeColor="text1"/>
            </w:tcBorders>
            <w:vAlign w:val="center"/>
          </w:tcPr>
          <w:p w:rsidR="00EB58F0" w:rsidRPr="00133367" w:rsidRDefault="00EB58F0" w:rsidP="00256EEC">
            <w:pPr>
              <w:jc w:val="center"/>
              <w:rPr>
                <w:b/>
                <w:sz w:val="13"/>
                <w:szCs w:val="13"/>
              </w:rPr>
            </w:pPr>
            <w:r w:rsidRPr="00133367">
              <w:rPr>
                <w:b/>
                <w:sz w:val="13"/>
                <w:szCs w:val="13"/>
              </w:rPr>
              <w:t>Obligaciones subordinadas en circulación</w:t>
            </w:r>
          </w:p>
        </w:tc>
        <w:tc>
          <w:tcPr>
            <w:tcW w:w="992" w:type="dxa"/>
            <w:tcBorders>
              <w:bottom w:val="single" w:sz="4" w:space="0" w:color="000000" w:themeColor="text1"/>
            </w:tcBorders>
            <w:vAlign w:val="center"/>
          </w:tcPr>
          <w:p w:rsidR="00EB58F0" w:rsidRPr="00133367" w:rsidRDefault="00EB58F0">
            <w:pPr>
              <w:jc w:val="center"/>
              <w:rPr>
                <w:b/>
                <w:sz w:val="13"/>
                <w:szCs w:val="13"/>
              </w:rPr>
            </w:pPr>
            <w:r w:rsidRPr="00133367">
              <w:rPr>
                <w:b/>
                <w:sz w:val="13"/>
                <w:szCs w:val="13"/>
              </w:rPr>
              <w:t xml:space="preserve">Aportaciones de </w:t>
            </w:r>
            <w:r w:rsidR="004718AB" w:rsidRPr="00133367">
              <w:rPr>
                <w:b/>
                <w:sz w:val="13"/>
                <w:szCs w:val="13"/>
              </w:rPr>
              <w:t xml:space="preserve">Sociedades Financieras Comunitarias </w:t>
            </w:r>
            <w:r w:rsidRPr="00133367">
              <w:rPr>
                <w:b/>
                <w:sz w:val="13"/>
                <w:szCs w:val="13"/>
                <w:vertAlign w:val="superscript"/>
              </w:rPr>
              <w:t>2</w:t>
            </w:r>
          </w:p>
        </w:tc>
        <w:tc>
          <w:tcPr>
            <w:tcW w:w="992" w:type="dxa"/>
            <w:tcBorders>
              <w:bottom w:val="single" w:sz="4" w:space="0" w:color="000000" w:themeColor="text1"/>
            </w:tcBorders>
            <w:vAlign w:val="center"/>
          </w:tcPr>
          <w:p w:rsidR="00EB58F0" w:rsidRPr="00133367" w:rsidRDefault="00EB58F0" w:rsidP="00256EEC">
            <w:pPr>
              <w:jc w:val="center"/>
              <w:rPr>
                <w:b/>
                <w:sz w:val="13"/>
                <w:szCs w:val="13"/>
              </w:rPr>
            </w:pPr>
            <w:r w:rsidRPr="00133367">
              <w:rPr>
                <w:b/>
                <w:sz w:val="13"/>
                <w:szCs w:val="13"/>
              </w:rPr>
              <w:t xml:space="preserve">Patrimonio fundacional </w:t>
            </w:r>
            <w:r w:rsidRPr="00133367">
              <w:rPr>
                <w:b/>
                <w:sz w:val="13"/>
                <w:szCs w:val="13"/>
                <w:vertAlign w:val="superscript"/>
              </w:rPr>
              <w:t>2</w:t>
            </w:r>
          </w:p>
        </w:tc>
        <w:tc>
          <w:tcPr>
            <w:tcW w:w="1134" w:type="dxa"/>
            <w:tcBorders>
              <w:bottom w:val="single" w:sz="4" w:space="0" w:color="000000" w:themeColor="text1"/>
            </w:tcBorders>
          </w:tcPr>
          <w:p w:rsidR="00EB58F0" w:rsidRPr="00133367" w:rsidDel="00835788" w:rsidRDefault="004718AB" w:rsidP="004718AB">
            <w:pPr>
              <w:jc w:val="center"/>
              <w:rPr>
                <w:b/>
                <w:sz w:val="13"/>
                <w:szCs w:val="13"/>
              </w:rPr>
            </w:pPr>
            <w:r w:rsidRPr="00133367">
              <w:rPr>
                <w:b/>
                <w:sz w:val="13"/>
                <w:szCs w:val="13"/>
              </w:rPr>
              <w:t>Efecto por incorporación al régimen de sociedades financieras populares</w:t>
            </w:r>
          </w:p>
        </w:tc>
        <w:tc>
          <w:tcPr>
            <w:tcW w:w="851" w:type="dxa"/>
            <w:tcBorders>
              <w:bottom w:val="single" w:sz="4" w:space="0" w:color="000000" w:themeColor="text1"/>
            </w:tcBorders>
            <w:vAlign w:val="center"/>
          </w:tcPr>
          <w:p w:rsidR="00EB58F0" w:rsidRPr="00133367" w:rsidRDefault="00EB58F0" w:rsidP="00256EEC">
            <w:pPr>
              <w:jc w:val="center"/>
              <w:rPr>
                <w:b/>
                <w:sz w:val="13"/>
                <w:szCs w:val="13"/>
              </w:rPr>
            </w:pPr>
            <w:r w:rsidRPr="00133367">
              <w:rPr>
                <w:b/>
                <w:sz w:val="13"/>
                <w:szCs w:val="13"/>
              </w:rPr>
              <w:t>Reservas de capital</w:t>
            </w:r>
          </w:p>
        </w:tc>
        <w:tc>
          <w:tcPr>
            <w:tcW w:w="992" w:type="dxa"/>
            <w:tcBorders>
              <w:bottom w:val="single" w:sz="4" w:space="0" w:color="000000" w:themeColor="text1"/>
            </w:tcBorders>
            <w:vAlign w:val="center"/>
          </w:tcPr>
          <w:p w:rsidR="00EB58F0" w:rsidRPr="00133367" w:rsidRDefault="00EB58F0" w:rsidP="00256EEC">
            <w:pPr>
              <w:jc w:val="center"/>
              <w:rPr>
                <w:b/>
                <w:sz w:val="13"/>
                <w:szCs w:val="13"/>
              </w:rPr>
            </w:pPr>
            <w:r w:rsidRPr="00133367">
              <w:rPr>
                <w:b/>
                <w:sz w:val="13"/>
                <w:szCs w:val="13"/>
              </w:rPr>
              <w:t>Resultado de ejercicios anteriores</w:t>
            </w:r>
          </w:p>
        </w:tc>
        <w:tc>
          <w:tcPr>
            <w:tcW w:w="1134" w:type="dxa"/>
            <w:tcBorders>
              <w:bottom w:val="single" w:sz="4" w:space="0" w:color="000000" w:themeColor="text1"/>
            </w:tcBorders>
            <w:vAlign w:val="center"/>
          </w:tcPr>
          <w:p w:rsidR="00EB58F0" w:rsidRPr="00133367" w:rsidRDefault="00EB58F0" w:rsidP="00256EEC">
            <w:pPr>
              <w:jc w:val="center"/>
              <w:rPr>
                <w:b/>
                <w:sz w:val="13"/>
                <w:szCs w:val="13"/>
              </w:rPr>
            </w:pPr>
            <w:r w:rsidRPr="00133367">
              <w:rPr>
                <w:b/>
                <w:sz w:val="13"/>
                <w:szCs w:val="13"/>
              </w:rPr>
              <w:t>Resultado por valuación de títulos disponibles para la venta</w:t>
            </w:r>
          </w:p>
        </w:tc>
        <w:tc>
          <w:tcPr>
            <w:tcW w:w="850" w:type="dxa"/>
            <w:tcBorders>
              <w:bottom w:val="single" w:sz="4" w:space="0" w:color="000000" w:themeColor="text1"/>
            </w:tcBorders>
            <w:vAlign w:val="center"/>
          </w:tcPr>
          <w:p w:rsidR="00EB58F0" w:rsidRPr="00133367" w:rsidRDefault="00EB58F0" w:rsidP="00256EEC">
            <w:pPr>
              <w:jc w:val="center"/>
              <w:rPr>
                <w:b/>
                <w:sz w:val="13"/>
                <w:szCs w:val="13"/>
              </w:rPr>
            </w:pPr>
            <w:r w:rsidRPr="00133367">
              <w:rPr>
                <w:b/>
                <w:sz w:val="13"/>
                <w:szCs w:val="13"/>
              </w:rPr>
              <w:t>Resultado por tenencia de activos no monetarios</w:t>
            </w:r>
          </w:p>
        </w:tc>
        <w:tc>
          <w:tcPr>
            <w:tcW w:w="851" w:type="dxa"/>
            <w:tcBorders>
              <w:bottom w:val="single" w:sz="4" w:space="0" w:color="000000" w:themeColor="text1"/>
            </w:tcBorders>
            <w:vAlign w:val="center"/>
          </w:tcPr>
          <w:p w:rsidR="00EB58F0" w:rsidRPr="00133367" w:rsidRDefault="00EB58F0" w:rsidP="00256EEC">
            <w:pPr>
              <w:jc w:val="center"/>
              <w:rPr>
                <w:b/>
                <w:sz w:val="13"/>
                <w:szCs w:val="13"/>
              </w:rPr>
            </w:pPr>
            <w:r w:rsidRPr="00133367">
              <w:rPr>
                <w:b/>
                <w:sz w:val="13"/>
                <w:szCs w:val="13"/>
              </w:rPr>
              <w:t>Resultado neto</w:t>
            </w:r>
          </w:p>
        </w:tc>
        <w:tc>
          <w:tcPr>
            <w:tcW w:w="709" w:type="dxa"/>
            <w:vMerge/>
            <w:tcBorders>
              <w:bottom w:val="single" w:sz="4" w:space="0" w:color="000000" w:themeColor="text1"/>
            </w:tcBorders>
            <w:vAlign w:val="center"/>
          </w:tcPr>
          <w:p w:rsidR="00EB58F0" w:rsidRPr="00133367" w:rsidRDefault="00EB58F0" w:rsidP="00256EEC">
            <w:pPr>
              <w:jc w:val="center"/>
              <w:rPr>
                <w:b/>
                <w:sz w:val="13"/>
                <w:szCs w:val="13"/>
              </w:rPr>
            </w:pPr>
          </w:p>
        </w:tc>
      </w:tr>
      <w:tr w:rsidR="004718AB" w:rsidRPr="00133367" w:rsidTr="00E6189E">
        <w:tc>
          <w:tcPr>
            <w:tcW w:w="2127" w:type="dxa"/>
            <w:tcBorders>
              <w:bottom w:val="nil"/>
            </w:tcBorders>
          </w:tcPr>
          <w:p w:rsidR="00EB58F0" w:rsidRPr="00133367" w:rsidRDefault="00EB58F0" w:rsidP="00604CC5">
            <w:pPr>
              <w:rPr>
                <w:sz w:val="13"/>
                <w:szCs w:val="13"/>
              </w:rPr>
            </w:pPr>
          </w:p>
        </w:tc>
        <w:tc>
          <w:tcPr>
            <w:tcW w:w="992" w:type="dxa"/>
            <w:tcBorders>
              <w:bottom w:val="nil"/>
            </w:tcBorders>
          </w:tcPr>
          <w:p w:rsidR="00EB58F0" w:rsidRPr="00133367" w:rsidRDefault="00EB58F0" w:rsidP="00604CC5">
            <w:pPr>
              <w:jc w:val="center"/>
              <w:rPr>
                <w:sz w:val="13"/>
                <w:szCs w:val="13"/>
              </w:rPr>
            </w:pPr>
          </w:p>
        </w:tc>
        <w:tc>
          <w:tcPr>
            <w:tcW w:w="1134" w:type="dxa"/>
            <w:tcBorders>
              <w:bottom w:val="nil"/>
            </w:tcBorders>
          </w:tcPr>
          <w:p w:rsidR="00EB58F0" w:rsidRPr="00133367" w:rsidRDefault="00EB58F0" w:rsidP="00604CC5">
            <w:pPr>
              <w:jc w:val="center"/>
              <w:rPr>
                <w:sz w:val="13"/>
                <w:szCs w:val="13"/>
              </w:rPr>
            </w:pPr>
          </w:p>
        </w:tc>
        <w:tc>
          <w:tcPr>
            <w:tcW w:w="993" w:type="dxa"/>
            <w:gridSpan w:val="2"/>
            <w:tcBorders>
              <w:bottom w:val="nil"/>
            </w:tcBorders>
          </w:tcPr>
          <w:p w:rsidR="00EB58F0" w:rsidRPr="00133367" w:rsidRDefault="00EB58F0" w:rsidP="00604CC5">
            <w:pPr>
              <w:jc w:val="center"/>
              <w:rPr>
                <w:sz w:val="13"/>
                <w:szCs w:val="13"/>
              </w:rPr>
            </w:pPr>
          </w:p>
        </w:tc>
        <w:tc>
          <w:tcPr>
            <w:tcW w:w="1134" w:type="dxa"/>
            <w:tcBorders>
              <w:bottom w:val="nil"/>
            </w:tcBorders>
          </w:tcPr>
          <w:p w:rsidR="00EB58F0" w:rsidRPr="00133367" w:rsidRDefault="00EB58F0" w:rsidP="00604CC5">
            <w:pPr>
              <w:jc w:val="center"/>
              <w:rPr>
                <w:sz w:val="13"/>
                <w:szCs w:val="13"/>
              </w:rPr>
            </w:pPr>
          </w:p>
        </w:tc>
        <w:tc>
          <w:tcPr>
            <w:tcW w:w="992" w:type="dxa"/>
            <w:tcBorders>
              <w:bottom w:val="nil"/>
            </w:tcBorders>
          </w:tcPr>
          <w:p w:rsidR="00EB58F0" w:rsidRPr="00133367" w:rsidRDefault="00EB58F0" w:rsidP="00604CC5">
            <w:pPr>
              <w:jc w:val="center"/>
              <w:rPr>
                <w:sz w:val="13"/>
                <w:szCs w:val="13"/>
              </w:rPr>
            </w:pPr>
          </w:p>
        </w:tc>
        <w:tc>
          <w:tcPr>
            <w:tcW w:w="992" w:type="dxa"/>
            <w:tcBorders>
              <w:bottom w:val="nil"/>
            </w:tcBorders>
          </w:tcPr>
          <w:p w:rsidR="00EB58F0" w:rsidRPr="00133367" w:rsidRDefault="00EB58F0" w:rsidP="00604CC5">
            <w:pPr>
              <w:jc w:val="center"/>
              <w:rPr>
                <w:sz w:val="13"/>
                <w:szCs w:val="13"/>
              </w:rPr>
            </w:pPr>
          </w:p>
        </w:tc>
        <w:tc>
          <w:tcPr>
            <w:tcW w:w="1134" w:type="dxa"/>
            <w:tcBorders>
              <w:bottom w:val="nil"/>
            </w:tcBorders>
          </w:tcPr>
          <w:p w:rsidR="00EB58F0" w:rsidRPr="00133367" w:rsidRDefault="00EB58F0" w:rsidP="00604CC5">
            <w:pPr>
              <w:jc w:val="center"/>
              <w:rPr>
                <w:sz w:val="13"/>
                <w:szCs w:val="13"/>
              </w:rPr>
            </w:pPr>
          </w:p>
        </w:tc>
        <w:tc>
          <w:tcPr>
            <w:tcW w:w="851" w:type="dxa"/>
            <w:tcBorders>
              <w:bottom w:val="nil"/>
            </w:tcBorders>
          </w:tcPr>
          <w:p w:rsidR="00EB58F0" w:rsidRPr="00133367" w:rsidRDefault="00EB58F0" w:rsidP="00604CC5">
            <w:pPr>
              <w:jc w:val="center"/>
              <w:rPr>
                <w:sz w:val="13"/>
                <w:szCs w:val="13"/>
              </w:rPr>
            </w:pPr>
          </w:p>
        </w:tc>
        <w:tc>
          <w:tcPr>
            <w:tcW w:w="992" w:type="dxa"/>
            <w:tcBorders>
              <w:bottom w:val="nil"/>
            </w:tcBorders>
          </w:tcPr>
          <w:p w:rsidR="00EB58F0" w:rsidRPr="00133367" w:rsidRDefault="00EB58F0" w:rsidP="00604CC5">
            <w:pPr>
              <w:jc w:val="center"/>
              <w:rPr>
                <w:sz w:val="13"/>
                <w:szCs w:val="13"/>
              </w:rPr>
            </w:pPr>
          </w:p>
        </w:tc>
        <w:tc>
          <w:tcPr>
            <w:tcW w:w="1134" w:type="dxa"/>
            <w:tcBorders>
              <w:bottom w:val="nil"/>
            </w:tcBorders>
          </w:tcPr>
          <w:p w:rsidR="00EB58F0" w:rsidRPr="00133367" w:rsidRDefault="00EB58F0" w:rsidP="00604CC5">
            <w:pPr>
              <w:jc w:val="center"/>
              <w:rPr>
                <w:sz w:val="13"/>
                <w:szCs w:val="13"/>
              </w:rPr>
            </w:pPr>
          </w:p>
        </w:tc>
        <w:tc>
          <w:tcPr>
            <w:tcW w:w="850" w:type="dxa"/>
            <w:tcBorders>
              <w:bottom w:val="nil"/>
            </w:tcBorders>
          </w:tcPr>
          <w:p w:rsidR="00EB58F0" w:rsidRPr="00133367" w:rsidRDefault="00EB58F0" w:rsidP="00604CC5">
            <w:pPr>
              <w:jc w:val="center"/>
              <w:rPr>
                <w:sz w:val="13"/>
                <w:szCs w:val="13"/>
              </w:rPr>
            </w:pPr>
          </w:p>
        </w:tc>
        <w:tc>
          <w:tcPr>
            <w:tcW w:w="851" w:type="dxa"/>
            <w:tcBorders>
              <w:bottom w:val="nil"/>
            </w:tcBorders>
          </w:tcPr>
          <w:p w:rsidR="00EB58F0" w:rsidRPr="00133367" w:rsidRDefault="00EB58F0" w:rsidP="00604CC5">
            <w:pPr>
              <w:jc w:val="center"/>
              <w:rPr>
                <w:sz w:val="13"/>
                <w:szCs w:val="13"/>
              </w:rPr>
            </w:pPr>
          </w:p>
        </w:tc>
        <w:tc>
          <w:tcPr>
            <w:tcW w:w="709" w:type="dxa"/>
            <w:tcBorders>
              <w:bottom w:val="nil"/>
            </w:tcBorders>
          </w:tcPr>
          <w:p w:rsidR="00EB58F0" w:rsidRPr="00133367" w:rsidRDefault="00EB58F0" w:rsidP="00604CC5">
            <w:pPr>
              <w:jc w:val="center"/>
              <w:rPr>
                <w:sz w:val="13"/>
                <w:szCs w:val="13"/>
              </w:rPr>
            </w:pPr>
          </w:p>
        </w:tc>
      </w:tr>
      <w:tr w:rsidR="004718AB" w:rsidRPr="00133367" w:rsidTr="00E6189E">
        <w:tc>
          <w:tcPr>
            <w:tcW w:w="2127" w:type="dxa"/>
            <w:tcBorders>
              <w:top w:val="nil"/>
              <w:bottom w:val="nil"/>
            </w:tcBorders>
          </w:tcPr>
          <w:p w:rsidR="00EB58F0" w:rsidRPr="00133367" w:rsidRDefault="00EB58F0" w:rsidP="00604CC5">
            <w:pPr>
              <w:rPr>
                <w:sz w:val="13"/>
                <w:szCs w:val="13"/>
              </w:rPr>
            </w:pPr>
            <w:r w:rsidRPr="00133367">
              <w:rPr>
                <w:sz w:val="13"/>
                <w:szCs w:val="13"/>
              </w:rPr>
              <w:t>Saldo al _____ de _________ de ______</w:t>
            </w: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3" w:type="dxa"/>
            <w:gridSpan w:val="2"/>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0"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709" w:type="dxa"/>
            <w:tcBorders>
              <w:top w:val="nil"/>
              <w:bottom w:val="nil"/>
            </w:tcBorders>
          </w:tcPr>
          <w:p w:rsidR="00EB58F0" w:rsidRPr="00133367" w:rsidRDefault="00EB58F0" w:rsidP="00604CC5">
            <w:pPr>
              <w:jc w:val="center"/>
              <w:rPr>
                <w:sz w:val="13"/>
                <w:szCs w:val="13"/>
              </w:rPr>
            </w:pPr>
          </w:p>
        </w:tc>
      </w:tr>
      <w:tr w:rsidR="004718AB" w:rsidRPr="00133367" w:rsidTr="00E6189E">
        <w:tc>
          <w:tcPr>
            <w:tcW w:w="2127" w:type="dxa"/>
            <w:tcBorders>
              <w:top w:val="nil"/>
              <w:bottom w:val="nil"/>
            </w:tcBorders>
          </w:tcPr>
          <w:p w:rsidR="00EB58F0" w:rsidRPr="00133367" w:rsidRDefault="00EB58F0" w:rsidP="00604CC5">
            <w:pPr>
              <w:rPr>
                <w:b/>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3" w:type="dxa"/>
            <w:gridSpan w:val="2"/>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0"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709" w:type="dxa"/>
            <w:tcBorders>
              <w:top w:val="nil"/>
              <w:bottom w:val="nil"/>
            </w:tcBorders>
          </w:tcPr>
          <w:p w:rsidR="00EB58F0" w:rsidRPr="00133367" w:rsidRDefault="00EB58F0" w:rsidP="00604CC5">
            <w:pPr>
              <w:jc w:val="center"/>
              <w:rPr>
                <w:sz w:val="13"/>
                <w:szCs w:val="13"/>
              </w:rPr>
            </w:pPr>
          </w:p>
        </w:tc>
      </w:tr>
      <w:tr w:rsidR="004718AB" w:rsidRPr="00133367" w:rsidTr="00E6189E">
        <w:tc>
          <w:tcPr>
            <w:tcW w:w="2127" w:type="dxa"/>
            <w:tcBorders>
              <w:top w:val="nil"/>
              <w:bottom w:val="nil"/>
            </w:tcBorders>
          </w:tcPr>
          <w:p w:rsidR="00EB58F0" w:rsidRPr="00133367" w:rsidRDefault="00EB58F0">
            <w:pPr>
              <w:jc w:val="both"/>
              <w:rPr>
                <w:rFonts w:eastAsia="SimSun"/>
                <w:b/>
                <w:sz w:val="13"/>
                <w:szCs w:val="13"/>
              </w:rPr>
            </w:pPr>
            <w:r w:rsidRPr="00133367">
              <w:rPr>
                <w:b/>
                <w:sz w:val="13"/>
                <w:szCs w:val="13"/>
              </w:rPr>
              <w:t>MOVIMIENTOS INHERENTES A LAS DECISIONES DE LOS ACCIONISTAS</w:t>
            </w: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3" w:type="dxa"/>
            <w:gridSpan w:val="2"/>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0"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709" w:type="dxa"/>
            <w:tcBorders>
              <w:top w:val="nil"/>
              <w:bottom w:val="nil"/>
            </w:tcBorders>
          </w:tcPr>
          <w:p w:rsidR="00EB58F0" w:rsidRPr="00133367" w:rsidRDefault="00EB58F0" w:rsidP="00604CC5">
            <w:pPr>
              <w:jc w:val="center"/>
              <w:rPr>
                <w:sz w:val="13"/>
                <w:szCs w:val="13"/>
              </w:rPr>
            </w:pPr>
          </w:p>
        </w:tc>
      </w:tr>
      <w:tr w:rsidR="004718AB" w:rsidRPr="00133367" w:rsidTr="00E6189E">
        <w:tc>
          <w:tcPr>
            <w:tcW w:w="2127" w:type="dxa"/>
            <w:tcBorders>
              <w:top w:val="nil"/>
              <w:bottom w:val="nil"/>
            </w:tcBorders>
          </w:tcPr>
          <w:p w:rsidR="00EB58F0" w:rsidRPr="00133367" w:rsidRDefault="00EB58F0" w:rsidP="00604CC5">
            <w:pP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3" w:type="dxa"/>
            <w:gridSpan w:val="2"/>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0"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709" w:type="dxa"/>
            <w:tcBorders>
              <w:top w:val="nil"/>
              <w:bottom w:val="nil"/>
            </w:tcBorders>
          </w:tcPr>
          <w:p w:rsidR="00EB58F0" w:rsidRPr="00133367" w:rsidRDefault="00EB58F0" w:rsidP="00604CC5">
            <w:pPr>
              <w:jc w:val="center"/>
              <w:rPr>
                <w:sz w:val="13"/>
                <w:szCs w:val="13"/>
              </w:rPr>
            </w:pPr>
          </w:p>
        </w:tc>
      </w:tr>
      <w:tr w:rsidR="004718AB" w:rsidRPr="00133367" w:rsidTr="00E6189E">
        <w:tc>
          <w:tcPr>
            <w:tcW w:w="2127" w:type="dxa"/>
            <w:tcBorders>
              <w:top w:val="nil"/>
              <w:bottom w:val="nil"/>
            </w:tcBorders>
          </w:tcPr>
          <w:p w:rsidR="00EB58F0" w:rsidRPr="00133367" w:rsidRDefault="00EB58F0" w:rsidP="00604CC5">
            <w:pPr>
              <w:rPr>
                <w:sz w:val="13"/>
                <w:szCs w:val="13"/>
              </w:rPr>
            </w:pPr>
            <w:r w:rsidRPr="00133367">
              <w:rPr>
                <w:sz w:val="13"/>
                <w:szCs w:val="13"/>
              </w:rPr>
              <w:t>Suscripción de acciones</w:t>
            </w:r>
          </w:p>
          <w:p w:rsidR="00EB58F0" w:rsidRPr="00133367" w:rsidRDefault="00EB58F0" w:rsidP="0029517D">
            <w:pPr>
              <w:rPr>
                <w:sz w:val="13"/>
                <w:szCs w:val="13"/>
              </w:rPr>
            </w:pPr>
            <w:r w:rsidRPr="00133367">
              <w:rPr>
                <w:sz w:val="13"/>
                <w:szCs w:val="13"/>
              </w:rPr>
              <w:t>Capitalización de utilidades</w:t>
            </w: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3" w:type="dxa"/>
            <w:gridSpan w:val="2"/>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0"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709" w:type="dxa"/>
            <w:tcBorders>
              <w:top w:val="nil"/>
              <w:bottom w:val="nil"/>
            </w:tcBorders>
          </w:tcPr>
          <w:p w:rsidR="00EB58F0" w:rsidRPr="00133367" w:rsidRDefault="00EB58F0" w:rsidP="00604CC5">
            <w:pPr>
              <w:jc w:val="center"/>
              <w:rPr>
                <w:sz w:val="13"/>
                <w:szCs w:val="13"/>
              </w:rPr>
            </w:pPr>
          </w:p>
        </w:tc>
      </w:tr>
      <w:tr w:rsidR="004718AB" w:rsidRPr="00133367" w:rsidTr="00E6189E">
        <w:tc>
          <w:tcPr>
            <w:tcW w:w="2127" w:type="dxa"/>
            <w:tcBorders>
              <w:top w:val="nil"/>
              <w:bottom w:val="nil"/>
            </w:tcBorders>
          </w:tcPr>
          <w:p w:rsidR="00EB58F0" w:rsidRPr="00133367" w:rsidRDefault="00EB58F0" w:rsidP="00604CC5">
            <w:pPr>
              <w:rPr>
                <w:sz w:val="13"/>
                <w:szCs w:val="13"/>
              </w:rPr>
            </w:pPr>
            <w:r w:rsidRPr="00133367">
              <w:rPr>
                <w:sz w:val="13"/>
                <w:szCs w:val="13"/>
              </w:rPr>
              <w:t>Constitución de reservas</w:t>
            </w: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3" w:type="dxa"/>
            <w:gridSpan w:val="2"/>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0"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709" w:type="dxa"/>
            <w:tcBorders>
              <w:top w:val="nil"/>
              <w:bottom w:val="nil"/>
            </w:tcBorders>
          </w:tcPr>
          <w:p w:rsidR="00EB58F0" w:rsidRPr="00133367" w:rsidRDefault="00EB58F0" w:rsidP="00604CC5">
            <w:pPr>
              <w:jc w:val="center"/>
              <w:rPr>
                <w:sz w:val="13"/>
                <w:szCs w:val="13"/>
              </w:rPr>
            </w:pPr>
          </w:p>
        </w:tc>
      </w:tr>
      <w:tr w:rsidR="004718AB" w:rsidRPr="00133367" w:rsidTr="00E6189E">
        <w:tc>
          <w:tcPr>
            <w:tcW w:w="2127" w:type="dxa"/>
            <w:tcBorders>
              <w:top w:val="nil"/>
              <w:bottom w:val="nil"/>
            </w:tcBorders>
          </w:tcPr>
          <w:p w:rsidR="00EB58F0" w:rsidRPr="00133367" w:rsidRDefault="00EB58F0" w:rsidP="00604CC5">
            <w:pPr>
              <w:rPr>
                <w:sz w:val="13"/>
                <w:szCs w:val="13"/>
              </w:rPr>
            </w:pPr>
            <w:r w:rsidRPr="00133367">
              <w:rPr>
                <w:sz w:val="13"/>
                <w:szCs w:val="13"/>
              </w:rPr>
              <w:t>Traspaso del resultado neto a resultado de ejercicios anteriores</w:t>
            </w: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3" w:type="dxa"/>
            <w:gridSpan w:val="2"/>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0"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709" w:type="dxa"/>
            <w:tcBorders>
              <w:top w:val="nil"/>
              <w:bottom w:val="nil"/>
            </w:tcBorders>
          </w:tcPr>
          <w:p w:rsidR="00EB58F0" w:rsidRPr="00133367" w:rsidRDefault="00EB58F0" w:rsidP="00604CC5">
            <w:pPr>
              <w:jc w:val="center"/>
              <w:rPr>
                <w:sz w:val="13"/>
                <w:szCs w:val="13"/>
              </w:rPr>
            </w:pPr>
          </w:p>
        </w:tc>
      </w:tr>
      <w:tr w:rsidR="004718AB" w:rsidRPr="00133367" w:rsidTr="00E6189E">
        <w:tc>
          <w:tcPr>
            <w:tcW w:w="2127" w:type="dxa"/>
            <w:tcBorders>
              <w:top w:val="nil"/>
              <w:bottom w:val="nil"/>
            </w:tcBorders>
          </w:tcPr>
          <w:p w:rsidR="00EB58F0" w:rsidRPr="00133367" w:rsidRDefault="00EB58F0" w:rsidP="0029517D">
            <w:pPr>
              <w:rPr>
                <w:sz w:val="13"/>
                <w:szCs w:val="13"/>
              </w:rPr>
            </w:pPr>
            <w:r w:rsidRPr="00133367">
              <w:rPr>
                <w:sz w:val="13"/>
                <w:szCs w:val="13"/>
              </w:rPr>
              <w:t>Pago de dividendos</w:t>
            </w: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3" w:type="dxa"/>
            <w:gridSpan w:val="2"/>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0"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709" w:type="dxa"/>
            <w:tcBorders>
              <w:top w:val="nil"/>
              <w:bottom w:val="nil"/>
            </w:tcBorders>
          </w:tcPr>
          <w:p w:rsidR="00EB58F0" w:rsidRPr="00133367" w:rsidRDefault="00EB58F0" w:rsidP="00604CC5">
            <w:pPr>
              <w:jc w:val="center"/>
              <w:rPr>
                <w:sz w:val="13"/>
                <w:szCs w:val="13"/>
              </w:rPr>
            </w:pPr>
          </w:p>
        </w:tc>
      </w:tr>
      <w:tr w:rsidR="004718AB" w:rsidRPr="00133367" w:rsidTr="00E6189E">
        <w:tc>
          <w:tcPr>
            <w:tcW w:w="2127" w:type="dxa"/>
            <w:tcBorders>
              <w:top w:val="nil"/>
              <w:bottom w:val="nil"/>
            </w:tcBorders>
          </w:tcPr>
          <w:p w:rsidR="00EB58F0" w:rsidRPr="00133367" w:rsidRDefault="00EB58F0" w:rsidP="00604CC5">
            <w:pPr>
              <w:ind w:left="720" w:hanging="402"/>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3" w:type="dxa"/>
            <w:gridSpan w:val="2"/>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0"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709" w:type="dxa"/>
            <w:tcBorders>
              <w:top w:val="nil"/>
              <w:bottom w:val="nil"/>
            </w:tcBorders>
          </w:tcPr>
          <w:p w:rsidR="00EB58F0" w:rsidRPr="00133367" w:rsidRDefault="00EB58F0" w:rsidP="00604CC5">
            <w:pPr>
              <w:jc w:val="center"/>
              <w:rPr>
                <w:sz w:val="13"/>
                <w:szCs w:val="13"/>
              </w:rPr>
            </w:pPr>
          </w:p>
        </w:tc>
      </w:tr>
      <w:tr w:rsidR="004718AB" w:rsidRPr="00133367" w:rsidTr="00E6189E">
        <w:tc>
          <w:tcPr>
            <w:tcW w:w="2127" w:type="dxa"/>
            <w:tcBorders>
              <w:top w:val="nil"/>
              <w:bottom w:val="nil"/>
            </w:tcBorders>
          </w:tcPr>
          <w:p w:rsidR="00EB58F0" w:rsidRPr="00133367" w:rsidRDefault="00EB58F0" w:rsidP="00604CC5">
            <w:pPr>
              <w:ind w:left="720" w:hanging="720"/>
              <w:rPr>
                <w:sz w:val="13"/>
                <w:szCs w:val="13"/>
              </w:rPr>
            </w:pPr>
            <w:r w:rsidRPr="00133367">
              <w:rPr>
                <w:sz w:val="13"/>
                <w:szCs w:val="13"/>
              </w:rPr>
              <w:t>Total</w:t>
            </w: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3" w:type="dxa"/>
            <w:gridSpan w:val="2"/>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0"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709" w:type="dxa"/>
            <w:tcBorders>
              <w:top w:val="nil"/>
              <w:bottom w:val="nil"/>
            </w:tcBorders>
          </w:tcPr>
          <w:p w:rsidR="00EB58F0" w:rsidRPr="00133367" w:rsidRDefault="00EB58F0" w:rsidP="00604CC5">
            <w:pPr>
              <w:jc w:val="center"/>
              <w:rPr>
                <w:sz w:val="13"/>
                <w:szCs w:val="13"/>
              </w:rPr>
            </w:pPr>
          </w:p>
        </w:tc>
      </w:tr>
      <w:tr w:rsidR="004718AB" w:rsidRPr="00133367" w:rsidTr="00E6189E">
        <w:tc>
          <w:tcPr>
            <w:tcW w:w="2127" w:type="dxa"/>
            <w:tcBorders>
              <w:top w:val="nil"/>
              <w:bottom w:val="nil"/>
            </w:tcBorders>
          </w:tcPr>
          <w:p w:rsidR="00EB58F0" w:rsidRPr="00133367" w:rsidRDefault="00EB58F0" w:rsidP="00604CC5">
            <w:pP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3" w:type="dxa"/>
            <w:gridSpan w:val="2"/>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0"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709" w:type="dxa"/>
            <w:tcBorders>
              <w:top w:val="nil"/>
              <w:bottom w:val="nil"/>
            </w:tcBorders>
          </w:tcPr>
          <w:p w:rsidR="00EB58F0" w:rsidRPr="00133367" w:rsidRDefault="00EB58F0" w:rsidP="00604CC5">
            <w:pPr>
              <w:jc w:val="center"/>
              <w:rPr>
                <w:sz w:val="13"/>
                <w:szCs w:val="13"/>
              </w:rPr>
            </w:pPr>
          </w:p>
        </w:tc>
      </w:tr>
      <w:tr w:rsidR="004718AB" w:rsidRPr="00133367" w:rsidTr="00E6189E">
        <w:tc>
          <w:tcPr>
            <w:tcW w:w="2127" w:type="dxa"/>
            <w:tcBorders>
              <w:top w:val="nil"/>
              <w:bottom w:val="nil"/>
            </w:tcBorders>
          </w:tcPr>
          <w:p w:rsidR="00EB58F0" w:rsidRPr="00133367" w:rsidRDefault="00EB58F0" w:rsidP="00604CC5">
            <w:pPr>
              <w:jc w:val="both"/>
              <w:rPr>
                <w:b/>
                <w:sz w:val="13"/>
                <w:szCs w:val="13"/>
              </w:rPr>
            </w:pPr>
            <w:r w:rsidRPr="00133367">
              <w:rPr>
                <w:b/>
                <w:sz w:val="13"/>
                <w:szCs w:val="13"/>
              </w:rPr>
              <w:t>MOVIMIENTOS INHERENTES AL RECONOCIMIENTO DE LA UTILIDAD INTEGRAL:</w:t>
            </w: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3" w:type="dxa"/>
            <w:gridSpan w:val="2"/>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0"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709" w:type="dxa"/>
            <w:tcBorders>
              <w:top w:val="nil"/>
              <w:bottom w:val="nil"/>
            </w:tcBorders>
          </w:tcPr>
          <w:p w:rsidR="00EB58F0" w:rsidRPr="00133367" w:rsidRDefault="00EB58F0" w:rsidP="00604CC5">
            <w:pPr>
              <w:jc w:val="center"/>
              <w:rPr>
                <w:sz w:val="13"/>
                <w:szCs w:val="13"/>
              </w:rPr>
            </w:pPr>
          </w:p>
        </w:tc>
      </w:tr>
      <w:tr w:rsidR="004718AB" w:rsidRPr="00133367" w:rsidTr="00E6189E">
        <w:tc>
          <w:tcPr>
            <w:tcW w:w="2127" w:type="dxa"/>
            <w:tcBorders>
              <w:top w:val="nil"/>
              <w:bottom w:val="nil"/>
            </w:tcBorders>
          </w:tcPr>
          <w:p w:rsidR="00EB58F0" w:rsidRPr="00133367" w:rsidRDefault="00EB58F0" w:rsidP="00604CC5">
            <w:pP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3" w:type="dxa"/>
            <w:gridSpan w:val="2"/>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0"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709" w:type="dxa"/>
            <w:tcBorders>
              <w:top w:val="nil"/>
              <w:bottom w:val="nil"/>
            </w:tcBorders>
          </w:tcPr>
          <w:p w:rsidR="00EB58F0" w:rsidRPr="00133367" w:rsidRDefault="00EB58F0" w:rsidP="00604CC5">
            <w:pPr>
              <w:jc w:val="center"/>
              <w:rPr>
                <w:sz w:val="13"/>
                <w:szCs w:val="13"/>
              </w:rPr>
            </w:pPr>
          </w:p>
        </w:tc>
      </w:tr>
      <w:tr w:rsidR="004718AB" w:rsidRPr="00133367" w:rsidTr="00E6189E">
        <w:tc>
          <w:tcPr>
            <w:tcW w:w="2127" w:type="dxa"/>
            <w:tcBorders>
              <w:top w:val="nil"/>
              <w:bottom w:val="nil"/>
            </w:tcBorders>
          </w:tcPr>
          <w:p w:rsidR="00EB58F0" w:rsidRPr="00133367" w:rsidRDefault="00EB58F0" w:rsidP="00604CC5">
            <w:pPr>
              <w:rPr>
                <w:sz w:val="13"/>
                <w:szCs w:val="13"/>
              </w:rPr>
            </w:pPr>
            <w:r w:rsidRPr="00133367">
              <w:rPr>
                <w:sz w:val="13"/>
                <w:szCs w:val="13"/>
              </w:rPr>
              <w:t>Utilidad integral</w:t>
            </w: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3" w:type="dxa"/>
            <w:gridSpan w:val="2"/>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0"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709" w:type="dxa"/>
            <w:tcBorders>
              <w:top w:val="nil"/>
              <w:bottom w:val="nil"/>
            </w:tcBorders>
          </w:tcPr>
          <w:p w:rsidR="00EB58F0" w:rsidRPr="00133367" w:rsidRDefault="00EB58F0" w:rsidP="00604CC5">
            <w:pPr>
              <w:jc w:val="center"/>
              <w:rPr>
                <w:sz w:val="13"/>
                <w:szCs w:val="13"/>
              </w:rPr>
            </w:pPr>
          </w:p>
        </w:tc>
      </w:tr>
      <w:tr w:rsidR="004718AB" w:rsidRPr="00133367" w:rsidTr="00E6189E">
        <w:tc>
          <w:tcPr>
            <w:tcW w:w="2127" w:type="dxa"/>
            <w:tcBorders>
              <w:top w:val="nil"/>
              <w:bottom w:val="nil"/>
            </w:tcBorders>
          </w:tcPr>
          <w:p w:rsidR="00EB58F0" w:rsidRPr="00133367" w:rsidRDefault="00EB58F0" w:rsidP="00CA3169">
            <w:pPr>
              <w:pStyle w:val="Prrafodelista"/>
              <w:numPr>
                <w:ilvl w:val="0"/>
                <w:numId w:val="148"/>
              </w:numPr>
              <w:ind w:left="176" w:hanging="142"/>
              <w:rPr>
                <w:sz w:val="13"/>
                <w:szCs w:val="13"/>
              </w:rPr>
            </w:pPr>
            <w:r w:rsidRPr="00133367">
              <w:rPr>
                <w:sz w:val="13"/>
                <w:szCs w:val="13"/>
              </w:rPr>
              <w:t>Resultado neto</w:t>
            </w: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3" w:type="dxa"/>
            <w:gridSpan w:val="2"/>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0"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709" w:type="dxa"/>
            <w:tcBorders>
              <w:top w:val="nil"/>
              <w:bottom w:val="nil"/>
            </w:tcBorders>
          </w:tcPr>
          <w:p w:rsidR="00EB58F0" w:rsidRPr="00133367" w:rsidRDefault="00EB58F0" w:rsidP="00604CC5">
            <w:pPr>
              <w:jc w:val="center"/>
              <w:rPr>
                <w:sz w:val="13"/>
                <w:szCs w:val="13"/>
              </w:rPr>
            </w:pPr>
          </w:p>
        </w:tc>
      </w:tr>
      <w:tr w:rsidR="004718AB" w:rsidRPr="00133367" w:rsidTr="00E6189E">
        <w:tc>
          <w:tcPr>
            <w:tcW w:w="2127" w:type="dxa"/>
            <w:tcBorders>
              <w:top w:val="nil"/>
              <w:bottom w:val="nil"/>
            </w:tcBorders>
          </w:tcPr>
          <w:p w:rsidR="00EB58F0" w:rsidRPr="00133367" w:rsidRDefault="00EB58F0" w:rsidP="00CA3169">
            <w:pPr>
              <w:pStyle w:val="Prrafodelista"/>
              <w:numPr>
                <w:ilvl w:val="0"/>
                <w:numId w:val="148"/>
              </w:numPr>
              <w:ind w:left="176" w:hanging="142"/>
              <w:rPr>
                <w:sz w:val="13"/>
                <w:szCs w:val="13"/>
              </w:rPr>
            </w:pPr>
            <w:r w:rsidRPr="00133367">
              <w:rPr>
                <w:sz w:val="13"/>
                <w:szCs w:val="13"/>
              </w:rPr>
              <w:t>Resultado por valuación de títulos disponibles para la venta</w:t>
            </w: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3" w:type="dxa"/>
            <w:gridSpan w:val="2"/>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0"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709" w:type="dxa"/>
            <w:tcBorders>
              <w:top w:val="nil"/>
              <w:bottom w:val="nil"/>
            </w:tcBorders>
          </w:tcPr>
          <w:p w:rsidR="00EB58F0" w:rsidRPr="00133367" w:rsidRDefault="00EB58F0" w:rsidP="00604CC5">
            <w:pPr>
              <w:jc w:val="center"/>
              <w:rPr>
                <w:sz w:val="13"/>
                <w:szCs w:val="13"/>
              </w:rPr>
            </w:pPr>
          </w:p>
        </w:tc>
      </w:tr>
      <w:tr w:rsidR="004718AB" w:rsidRPr="00133367" w:rsidTr="00E6189E">
        <w:tc>
          <w:tcPr>
            <w:tcW w:w="2127" w:type="dxa"/>
            <w:tcBorders>
              <w:top w:val="nil"/>
              <w:bottom w:val="nil"/>
            </w:tcBorders>
          </w:tcPr>
          <w:p w:rsidR="00EB58F0" w:rsidRPr="00133367" w:rsidRDefault="00EB58F0" w:rsidP="00CA3169">
            <w:pPr>
              <w:pStyle w:val="Prrafodelista"/>
              <w:numPr>
                <w:ilvl w:val="0"/>
                <w:numId w:val="148"/>
              </w:numPr>
              <w:ind w:left="176" w:hanging="142"/>
              <w:rPr>
                <w:sz w:val="13"/>
                <w:szCs w:val="13"/>
              </w:rPr>
            </w:pPr>
            <w:r w:rsidRPr="00133367">
              <w:rPr>
                <w:sz w:val="13"/>
                <w:szCs w:val="13"/>
              </w:rPr>
              <w:t>Resultado por tenencia de activos no monetarios</w:t>
            </w: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3" w:type="dxa"/>
            <w:gridSpan w:val="2"/>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0"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709" w:type="dxa"/>
            <w:tcBorders>
              <w:top w:val="nil"/>
              <w:bottom w:val="nil"/>
            </w:tcBorders>
          </w:tcPr>
          <w:p w:rsidR="00EB58F0" w:rsidRPr="00133367" w:rsidRDefault="00EB58F0" w:rsidP="00604CC5">
            <w:pPr>
              <w:jc w:val="center"/>
              <w:rPr>
                <w:sz w:val="13"/>
                <w:szCs w:val="13"/>
              </w:rPr>
            </w:pPr>
          </w:p>
        </w:tc>
      </w:tr>
      <w:tr w:rsidR="004718AB" w:rsidRPr="00133367" w:rsidTr="00E6189E">
        <w:tc>
          <w:tcPr>
            <w:tcW w:w="2127" w:type="dxa"/>
            <w:tcBorders>
              <w:top w:val="nil"/>
              <w:bottom w:val="nil"/>
            </w:tcBorders>
          </w:tcPr>
          <w:p w:rsidR="00EB58F0" w:rsidRPr="00133367" w:rsidRDefault="00EB58F0" w:rsidP="00604CC5">
            <w:pP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3" w:type="dxa"/>
            <w:gridSpan w:val="2"/>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0"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709" w:type="dxa"/>
            <w:tcBorders>
              <w:top w:val="nil"/>
              <w:bottom w:val="nil"/>
            </w:tcBorders>
          </w:tcPr>
          <w:p w:rsidR="00EB58F0" w:rsidRPr="00133367" w:rsidRDefault="00EB58F0" w:rsidP="00604CC5">
            <w:pPr>
              <w:jc w:val="center"/>
              <w:rPr>
                <w:sz w:val="13"/>
                <w:szCs w:val="13"/>
              </w:rPr>
            </w:pPr>
          </w:p>
        </w:tc>
      </w:tr>
      <w:tr w:rsidR="004718AB" w:rsidRPr="00133367" w:rsidTr="00E6189E">
        <w:tc>
          <w:tcPr>
            <w:tcW w:w="2127" w:type="dxa"/>
            <w:tcBorders>
              <w:top w:val="nil"/>
              <w:bottom w:val="nil"/>
            </w:tcBorders>
          </w:tcPr>
          <w:p w:rsidR="00EB58F0" w:rsidRPr="00133367" w:rsidRDefault="00EB58F0" w:rsidP="00604CC5">
            <w:pPr>
              <w:rPr>
                <w:sz w:val="13"/>
                <w:szCs w:val="13"/>
              </w:rPr>
            </w:pPr>
            <w:r w:rsidRPr="00133367">
              <w:rPr>
                <w:sz w:val="13"/>
                <w:szCs w:val="13"/>
              </w:rPr>
              <w:t>Total</w:t>
            </w: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3" w:type="dxa"/>
            <w:gridSpan w:val="2"/>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0"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709" w:type="dxa"/>
            <w:tcBorders>
              <w:top w:val="nil"/>
              <w:bottom w:val="nil"/>
            </w:tcBorders>
          </w:tcPr>
          <w:p w:rsidR="00EB58F0" w:rsidRPr="00133367" w:rsidRDefault="00EB58F0" w:rsidP="00604CC5">
            <w:pPr>
              <w:jc w:val="center"/>
              <w:rPr>
                <w:sz w:val="13"/>
                <w:szCs w:val="13"/>
              </w:rPr>
            </w:pPr>
          </w:p>
        </w:tc>
      </w:tr>
      <w:tr w:rsidR="004718AB" w:rsidRPr="00133367" w:rsidTr="00E6189E">
        <w:tc>
          <w:tcPr>
            <w:tcW w:w="2127" w:type="dxa"/>
            <w:tcBorders>
              <w:top w:val="nil"/>
              <w:bottom w:val="nil"/>
            </w:tcBorders>
          </w:tcPr>
          <w:p w:rsidR="00EB58F0" w:rsidRPr="00133367" w:rsidRDefault="00EB58F0" w:rsidP="00604CC5">
            <w:pP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3" w:type="dxa"/>
            <w:gridSpan w:val="2"/>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0"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709" w:type="dxa"/>
            <w:tcBorders>
              <w:top w:val="nil"/>
              <w:bottom w:val="nil"/>
            </w:tcBorders>
          </w:tcPr>
          <w:p w:rsidR="00EB58F0" w:rsidRPr="00133367" w:rsidRDefault="00EB58F0" w:rsidP="00604CC5">
            <w:pPr>
              <w:jc w:val="center"/>
              <w:rPr>
                <w:sz w:val="13"/>
                <w:szCs w:val="13"/>
              </w:rPr>
            </w:pPr>
          </w:p>
        </w:tc>
      </w:tr>
      <w:tr w:rsidR="004718AB" w:rsidRPr="00133367" w:rsidTr="00E6189E">
        <w:tc>
          <w:tcPr>
            <w:tcW w:w="2127" w:type="dxa"/>
            <w:tcBorders>
              <w:top w:val="nil"/>
              <w:bottom w:val="nil"/>
            </w:tcBorders>
          </w:tcPr>
          <w:p w:rsidR="00EB58F0" w:rsidRPr="00133367" w:rsidRDefault="00EB58F0" w:rsidP="00604CC5">
            <w:pPr>
              <w:rPr>
                <w:sz w:val="13"/>
                <w:szCs w:val="13"/>
              </w:rPr>
            </w:pPr>
            <w:r w:rsidRPr="00133367">
              <w:rPr>
                <w:sz w:val="13"/>
                <w:szCs w:val="13"/>
              </w:rPr>
              <w:t>Saldo al _____ de _______ de ___</w:t>
            </w: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3" w:type="dxa"/>
            <w:gridSpan w:val="2"/>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0"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709" w:type="dxa"/>
            <w:tcBorders>
              <w:top w:val="nil"/>
              <w:bottom w:val="nil"/>
            </w:tcBorders>
          </w:tcPr>
          <w:p w:rsidR="00EB58F0" w:rsidRPr="00133367" w:rsidRDefault="00EB58F0" w:rsidP="00604CC5">
            <w:pPr>
              <w:jc w:val="center"/>
              <w:rPr>
                <w:sz w:val="13"/>
                <w:szCs w:val="13"/>
              </w:rPr>
            </w:pPr>
          </w:p>
        </w:tc>
      </w:tr>
      <w:tr w:rsidR="004718AB" w:rsidRPr="00133367" w:rsidTr="00E6189E">
        <w:tc>
          <w:tcPr>
            <w:tcW w:w="2127" w:type="dxa"/>
            <w:tcBorders>
              <w:top w:val="nil"/>
              <w:bottom w:val="nil"/>
            </w:tcBorders>
          </w:tcPr>
          <w:p w:rsidR="00EB58F0" w:rsidRPr="00133367" w:rsidRDefault="00EB58F0" w:rsidP="00604CC5">
            <w:pP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3" w:type="dxa"/>
            <w:gridSpan w:val="2"/>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992" w:type="dxa"/>
            <w:tcBorders>
              <w:top w:val="nil"/>
              <w:bottom w:val="nil"/>
            </w:tcBorders>
          </w:tcPr>
          <w:p w:rsidR="00EB58F0" w:rsidRPr="00133367" w:rsidRDefault="00EB58F0" w:rsidP="00604CC5">
            <w:pPr>
              <w:jc w:val="center"/>
              <w:rPr>
                <w:sz w:val="13"/>
                <w:szCs w:val="13"/>
              </w:rPr>
            </w:pPr>
          </w:p>
        </w:tc>
        <w:tc>
          <w:tcPr>
            <w:tcW w:w="1134" w:type="dxa"/>
            <w:tcBorders>
              <w:top w:val="nil"/>
              <w:bottom w:val="nil"/>
            </w:tcBorders>
          </w:tcPr>
          <w:p w:rsidR="00EB58F0" w:rsidRPr="00133367" w:rsidRDefault="00EB58F0" w:rsidP="00604CC5">
            <w:pPr>
              <w:jc w:val="center"/>
              <w:rPr>
                <w:sz w:val="13"/>
                <w:szCs w:val="13"/>
              </w:rPr>
            </w:pPr>
          </w:p>
        </w:tc>
        <w:tc>
          <w:tcPr>
            <w:tcW w:w="850" w:type="dxa"/>
            <w:tcBorders>
              <w:top w:val="nil"/>
              <w:bottom w:val="nil"/>
            </w:tcBorders>
          </w:tcPr>
          <w:p w:rsidR="00EB58F0" w:rsidRPr="00133367" w:rsidRDefault="00EB58F0" w:rsidP="00604CC5">
            <w:pPr>
              <w:jc w:val="center"/>
              <w:rPr>
                <w:sz w:val="13"/>
                <w:szCs w:val="13"/>
              </w:rPr>
            </w:pPr>
          </w:p>
        </w:tc>
        <w:tc>
          <w:tcPr>
            <w:tcW w:w="851" w:type="dxa"/>
            <w:tcBorders>
              <w:top w:val="nil"/>
              <w:bottom w:val="nil"/>
            </w:tcBorders>
          </w:tcPr>
          <w:p w:rsidR="00EB58F0" w:rsidRPr="00133367" w:rsidRDefault="00EB58F0" w:rsidP="00604CC5">
            <w:pPr>
              <w:jc w:val="center"/>
              <w:rPr>
                <w:sz w:val="13"/>
                <w:szCs w:val="13"/>
              </w:rPr>
            </w:pPr>
          </w:p>
        </w:tc>
        <w:tc>
          <w:tcPr>
            <w:tcW w:w="709" w:type="dxa"/>
            <w:tcBorders>
              <w:top w:val="nil"/>
              <w:bottom w:val="nil"/>
            </w:tcBorders>
          </w:tcPr>
          <w:p w:rsidR="00EB58F0" w:rsidRPr="00133367" w:rsidRDefault="00EB58F0" w:rsidP="00604CC5">
            <w:pPr>
              <w:jc w:val="center"/>
              <w:rPr>
                <w:sz w:val="13"/>
                <w:szCs w:val="13"/>
              </w:rPr>
            </w:pPr>
          </w:p>
        </w:tc>
      </w:tr>
      <w:tr w:rsidR="004718AB" w:rsidRPr="00133367" w:rsidTr="00E6189E">
        <w:tc>
          <w:tcPr>
            <w:tcW w:w="2127" w:type="dxa"/>
            <w:tcBorders>
              <w:top w:val="nil"/>
            </w:tcBorders>
          </w:tcPr>
          <w:p w:rsidR="00EB58F0" w:rsidRPr="00133367" w:rsidRDefault="00EB58F0" w:rsidP="00604CC5">
            <w:pPr>
              <w:rPr>
                <w:sz w:val="13"/>
                <w:szCs w:val="13"/>
              </w:rPr>
            </w:pPr>
          </w:p>
        </w:tc>
        <w:tc>
          <w:tcPr>
            <w:tcW w:w="992" w:type="dxa"/>
            <w:tcBorders>
              <w:top w:val="nil"/>
            </w:tcBorders>
          </w:tcPr>
          <w:p w:rsidR="00EB58F0" w:rsidRPr="00133367" w:rsidRDefault="00EB58F0" w:rsidP="00604CC5">
            <w:pPr>
              <w:jc w:val="center"/>
              <w:rPr>
                <w:sz w:val="13"/>
                <w:szCs w:val="13"/>
              </w:rPr>
            </w:pPr>
          </w:p>
        </w:tc>
        <w:tc>
          <w:tcPr>
            <w:tcW w:w="1134" w:type="dxa"/>
            <w:tcBorders>
              <w:top w:val="nil"/>
            </w:tcBorders>
          </w:tcPr>
          <w:p w:rsidR="00EB58F0" w:rsidRPr="00133367" w:rsidRDefault="00EB58F0" w:rsidP="00604CC5">
            <w:pPr>
              <w:jc w:val="center"/>
              <w:rPr>
                <w:sz w:val="13"/>
                <w:szCs w:val="13"/>
              </w:rPr>
            </w:pPr>
          </w:p>
        </w:tc>
        <w:tc>
          <w:tcPr>
            <w:tcW w:w="993" w:type="dxa"/>
            <w:gridSpan w:val="2"/>
            <w:tcBorders>
              <w:top w:val="nil"/>
            </w:tcBorders>
          </w:tcPr>
          <w:p w:rsidR="00EB58F0" w:rsidRPr="00133367" w:rsidRDefault="00EB58F0" w:rsidP="00604CC5">
            <w:pPr>
              <w:jc w:val="center"/>
              <w:rPr>
                <w:sz w:val="13"/>
                <w:szCs w:val="13"/>
              </w:rPr>
            </w:pPr>
          </w:p>
        </w:tc>
        <w:tc>
          <w:tcPr>
            <w:tcW w:w="1134" w:type="dxa"/>
            <w:tcBorders>
              <w:top w:val="nil"/>
            </w:tcBorders>
          </w:tcPr>
          <w:p w:rsidR="00EB58F0" w:rsidRPr="00133367" w:rsidRDefault="00EB58F0" w:rsidP="00604CC5">
            <w:pPr>
              <w:jc w:val="center"/>
              <w:rPr>
                <w:sz w:val="13"/>
                <w:szCs w:val="13"/>
              </w:rPr>
            </w:pPr>
          </w:p>
        </w:tc>
        <w:tc>
          <w:tcPr>
            <w:tcW w:w="992" w:type="dxa"/>
            <w:tcBorders>
              <w:top w:val="nil"/>
            </w:tcBorders>
          </w:tcPr>
          <w:p w:rsidR="00EB58F0" w:rsidRPr="00133367" w:rsidRDefault="00EB58F0" w:rsidP="00604CC5">
            <w:pPr>
              <w:jc w:val="center"/>
              <w:rPr>
                <w:sz w:val="13"/>
                <w:szCs w:val="13"/>
              </w:rPr>
            </w:pPr>
          </w:p>
        </w:tc>
        <w:tc>
          <w:tcPr>
            <w:tcW w:w="992" w:type="dxa"/>
            <w:tcBorders>
              <w:top w:val="nil"/>
            </w:tcBorders>
          </w:tcPr>
          <w:p w:rsidR="00EB58F0" w:rsidRPr="00133367" w:rsidRDefault="00EB58F0" w:rsidP="00604CC5">
            <w:pPr>
              <w:jc w:val="center"/>
              <w:rPr>
                <w:sz w:val="13"/>
                <w:szCs w:val="13"/>
              </w:rPr>
            </w:pPr>
          </w:p>
        </w:tc>
        <w:tc>
          <w:tcPr>
            <w:tcW w:w="1134" w:type="dxa"/>
            <w:tcBorders>
              <w:top w:val="nil"/>
            </w:tcBorders>
          </w:tcPr>
          <w:p w:rsidR="00EB58F0" w:rsidRPr="00133367" w:rsidRDefault="00EB58F0" w:rsidP="00604CC5">
            <w:pPr>
              <w:jc w:val="center"/>
              <w:rPr>
                <w:sz w:val="13"/>
                <w:szCs w:val="13"/>
              </w:rPr>
            </w:pPr>
          </w:p>
        </w:tc>
        <w:tc>
          <w:tcPr>
            <w:tcW w:w="851" w:type="dxa"/>
            <w:tcBorders>
              <w:top w:val="nil"/>
            </w:tcBorders>
          </w:tcPr>
          <w:p w:rsidR="00EB58F0" w:rsidRPr="00133367" w:rsidRDefault="00EB58F0" w:rsidP="00604CC5">
            <w:pPr>
              <w:jc w:val="center"/>
              <w:rPr>
                <w:sz w:val="13"/>
                <w:szCs w:val="13"/>
              </w:rPr>
            </w:pPr>
          </w:p>
        </w:tc>
        <w:tc>
          <w:tcPr>
            <w:tcW w:w="992" w:type="dxa"/>
            <w:tcBorders>
              <w:top w:val="nil"/>
            </w:tcBorders>
          </w:tcPr>
          <w:p w:rsidR="00EB58F0" w:rsidRPr="00133367" w:rsidRDefault="00EB58F0" w:rsidP="00604CC5">
            <w:pPr>
              <w:jc w:val="center"/>
              <w:rPr>
                <w:sz w:val="13"/>
                <w:szCs w:val="13"/>
              </w:rPr>
            </w:pPr>
          </w:p>
        </w:tc>
        <w:tc>
          <w:tcPr>
            <w:tcW w:w="1134" w:type="dxa"/>
            <w:tcBorders>
              <w:top w:val="nil"/>
            </w:tcBorders>
          </w:tcPr>
          <w:p w:rsidR="00EB58F0" w:rsidRPr="00133367" w:rsidRDefault="00EB58F0" w:rsidP="00604CC5">
            <w:pPr>
              <w:jc w:val="center"/>
              <w:rPr>
                <w:sz w:val="13"/>
                <w:szCs w:val="13"/>
              </w:rPr>
            </w:pPr>
          </w:p>
        </w:tc>
        <w:tc>
          <w:tcPr>
            <w:tcW w:w="850" w:type="dxa"/>
            <w:tcBorders>
              <w:top w:val="nil"/>
            </w:tcBorders>
          </w:tcPr>
          <w:p w:rsidR="00EB58F0" w:rsidRPr="00133367" w:rsidRDefault="00EB58F0" w:rsidP="00604CC5">
            <w:pPr>
              <w:jc w:val="center"/>
              <w:rPr>
                <w:sz w:val="13"/>
                <w:szCs w:val="13"/>
              </w:rPr>
            </w:pPr>
          </w:p>
        </w:tc>
        <w:tc>
          <w:tcPr>
            <w:tcW w:w="851" w:type="dxa"/>
            <w:tcBorders>
              <w:top w:val="nil"/>
            </w:tcBorders>
          </w:tcPr>
          <w:p w:rsidR="00EB58F0" w:rsidRPr="00133367" w:rsidRDefault="00EB58F0" w:rsidP="00604CC5">
            <w:pPr>
              <w:jc w:val="center"/>
              <w:rPr>
                <w:sz w:val="13"/>
                <w:szCs w:val="13"/>
              </w:rPr>
            </w:pPr>
          </w:p>
        </w:tc>
        <w:tc>
          <w:tcPr>
            <w:tcW w:w="709" w:type="dxa"/>
            <w:tcBorders>
              <w:top w:val="nil"/>
            </w:tcBorders>
          </w:tcPr>
          <w:p w:rsidR="00EB58F0" w:rsidRPr="00133367" w:rsidRDefault="00EB58F0" w:rsidP="00604CC5">
            <w:pPr>
              <w:jc w:val="center"/>
              <w:rPr>
                <w:sz w:val="13"/>
                <w:szCs w:val="13"/>
              </w:rPr>
            </w:pPr>
          </w:p>
        </w:tc>
      </w:tr>
    </w:tbl>
    <w:p w:rsidR="00CA3169" w:rsidRPr="00133367" w:rsidRDefault="00CA3169" w:rsidP="00CA3169">
      <w:pPr>
        <w:jc w:val="center"/>
        <w:rPr>
          <w:sz w:val="16"/>
          <w:szCs w:val="16"/>
        </w:rPr>
      </w:pPr>
    </w:p>
    <w:p w:rsidR="007A096B" w:rsidRPr="00133367" w:rsidRDefault="007A096B" w:rsidP="00133367">
      <w:pPr>
        <w:rPr>
          <w:sz w:val="14"/>
          <w:szCs w:val="16"/>
        </w:rPr>
      </w:pPr>
      <w:r w:rsidRPr="00133367">
        <w:rPr>
          <w:sz w:val="14"/>
          <w:szCs w:val="16"/>
        </w:rPr>
        <w:t>Los conceptos que aparecen en el presente estado se muestran de manera enunciativa mas no limitativa.</w:t>
      </w:r>
    </w:p>
    <w:p w:rsidR="007A096B" w:rsidRPr="00133367" w:rsidRDefault="007A096B" w:rsidP="00133367">
      <w:pPr>
        <w:rPr>
          <w:sz w:val="14"/>
          <w:szCs w:val="16"/>
        </w:rPr>
      </w:pPr>
    </w:p>
    <w:p w:rsidR="007A096B" w:rsidRPr="00133367" w:rsidRDefault="007A096B" w:rsidP="00133367">
      <w:pPr>
        <w:pStyle w:val="Prrafodelista"/>
        <w:numPr>
          <w:ilvl w:val="0"/>
          <w:numId w:val="149"/>
        </w:numPr>
        <w:tabs>
          <w:tab w:val="left" w:pos="284"/>
        </w:tabs>
        <w:ind w:left="0" w:firstLine="0"/>
        <w:rPr>
          <w:sz w:val="14"/>
          <w:szCs w:val="16"/>
        </w:rPr>
      </w:pPr>
      <w:r w:rsidRPr="00133367">
        <w:rPr>
          <w:sz w:val="14"/>
          <w:szCs w:val="16"/>
        </w:rPr>
        <w:t>Este renglón se omitirá si el entorno económico es “no inflacionario”</w:t>
      </w:r>
    </w:p>
    <w:p w:rsidR="00E1557E" w:rsidRPr="00133367" w:rsidRDefault="007A096B" w:rsidP="00133367">
      <w:pPr>
        <w:pStyle w:val="Prrafodelista"/>
        <w:numPr>
          <w:ilvl w:val="0"/>
          <w:numId w:val="149"/>
        </w:numPr>
        <w:tabs>
          <w:tab w:val="left" w:pos="284"/>
        </w:tabs>
        <w:ind w:left="0" w:firstLine="0"/>
        <w:rPr>
          <w:sz w:val="14"/>
          <w:szCs w:val="16"/>
        </w:rPr>
      </w:pPr>
      <w:r w:rsidRPr="00133367">
        <w:rPr>
          <w:sz w:val="14"/>
          <w:szCs w:val="16"/>
        </w:rPr>
        <w:t>Aplica únicamente para organismos de integración financiera rural.</w:t>
      </w:r>
    </w:p>
    <w:sectPr w:rsidR="00E1557E" w:rsidRPr="00133367" w:rsidSect="00133367">
      <w:headerReference w:type="default" r:id="rId11"/>
      <w:headerReference w:type="first" r:id="rId12"/>
      <w:pgSz w:w="15842" w:h="12242" w:orient="landscape" w:code="1"/>
      <w:pgMar w:top="1418" w:right="1560" w:bottom="1701"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703" w:rsidRDefault="003C5703">
      <w:r>
        <w:separator/>
      </w:r>
    </w:p>
  </w:endnote>
  <w:endnote w:type="continuationSeparator" w:id="0">
    <w:p w:rsidR="003C5703" w:rsidRDefault="003C5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Palacio (WN)">
    <w:panose1 w:val="00000000000000000000"/>
    <w:charset w:val="00"/>
    <w:family w:val="roman"/>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703" w:rsidRDefault="003C5703">
      <w:r>
        <w:separator/>
      </w:r>
    </w:p>
  </w:footnote>
  <w:footnote w:type="continuationSeparator" w:id="0">
    <w:p w:rsidR="003C5703" w:rsidRDefault="003C57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6ED" w:rsidRDefault="000906ED" w:rsidP="00AF1F26">
    <w:pPr>
      <w:pStyle w:val="Encabezad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6ED" w:rsidRDefault="000906ED">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38C" w:rsidRPr="0091638C" w:rsidRDefault="0091638C" w:rsidP="0091638C">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38C" w:rsidRPr="0091638C" w:rsidRDefault="0091638C" w:rsidP="0091638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7AFC"/>
    <w:multiLevelType w:val="hybridMultilevel"/>
    <w:tmpl w:val="6C6A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76AA0"/>
    <w:multiLevelType w:val="hybridMultilevel"/>
    <w:tmpl w:val="8E70CE8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2C55C1B"/>
    <w:multiLevelType w:val="hybridMultilevel"/>
    <w:tmpl w:val="6C6A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030ACF"/>
    <w:multiLevelType w:val="hybridMultilevel"/>
    <w:tmpl w:val="CB32D62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4A85E1E"/>
    <w:multiLevelType w:val="hybridMultilevel"/>
    <w:tmpl w:val="D054A5FA"/>
    <w:lvl w:ilvl="0" w:tplc="4C18964A">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nsid w:val="04E15DAF"/>
    <w:multiLevelType w:val="hybridMultilevel"/>
    <w:tmpl w:val="B6F08680"/>
    <w:lvl w:ilvl="0" w:tplc="BCA0C5E6">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
    <w:nsid w:val="05EA05E1"/>
    <w:multiLevelType w:val="hybridMultilevel"/>
    <w:tmpl w:val="64D0F1B4"/>
    <w:lvl w:ilvl="0" w:tplc="FEDABFE4">
      <w:start w:val="4"/>
      <w:numFmt w:val="lowerLetter"/>
      <w:lvlText w:val="%1)"/>
      <w:lvlJc w:val="left"/>
      <w:pPr>
        <w:tabs>
          <w:tab w:val="num" w:pos="709"/>
        </w:tabs>
        <w:ind w:left="709" w:hanging="426"/>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5EB39DC"/>
    <w:multiLevelType w:val="hybridMultilevel"/>
    <w:tmpl w:val="E96ED26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79B0609"/>
    <w:multiLevelType w:val="hybridMultilevel"/>
    <w:tmpl w:val="7520C97A"/>
    <w:lvl w:ilvl="0" w:tplc="45623E7A">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9">
    <w:nsid w:val="08BA783C"/>
    <w:multiLevelType w:val="hybridMultilevel"/>
    <w:tmpl w:val="96E0778C"/>
    <w:lvl w:ilvl="0" w:tplc="04090017">
      <w:start w:val="1"/>
      <w:numFmt w:val="lowerLetter"/>
      <w:lvlText w:val="%1)"/>
      <w:lvlJc w:val="left"/>
      <w:pPr>
        <w:ind w:left="1440" w:hanging="360"/>
      </w:pPr>
    </w:lvl>
    <w:lvl w:ilvl="1" w:tplc="04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9AC3736"/>
    <w:multiLevelType w:val="hybridMultilevel"/>
    <w:tmpl w:val="8804645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0A2D0640"/>
    <w:multiLevelType w:val="hybridMultilevel"/>
    <w:tmpl w:val="D460F196"/>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0A3414B5"/>
    <w:multiLevelType w:val="hybridMultilevel"/>
    <w:tmpl w:val="55D43586"/>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730222"/>
    <w:multiLevelType w:val="hybridMultilevel"/>
    <w:tmpl w:val="00F2AE7C"/>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A894A3C"/>
    <w:multiLevelType w:val="hybridMultilevel"/>
    <w:tmpl w:val="3B243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B4871B0"/>
    <w:multiLevelType w:val="hybridMultilevel"/>
    <w:tmpl w:val="6D024AA4"/>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0BF9005A"/>
    <w:multiLevelType w:val="hybridMultilevel"/>
    <w:tmpl w:val="4598591A"/>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0C0C6BCF"/>
    <w:multiLevelType w:val="hybridMultilevel"/>
    <w:tmpl w:val="83BAF92C"/>
    <w:lvl w:ilvl="0" w:tplc="9C3664E4">
      <w:start w:val="22"/>
      <w:numFmt w:val="lowerLetter"/>
      <w:lvlText w:val="%1)"/>
      <w:lvlJc w:val="left"/>
      <w:pPr>
        <w:ind w:left="144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C3866A1"/>
    <w:multiLevelType w:val="hybridMultilevel"/>
    <w:tmpl w:val="072EBBF2"/>
    <w:lvl w:ilvl="0" w:tplc="4C18964A">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9">
    <w:nsid w:val="0C9264FF"/>
    <w:multiLevelType w:val="hybridMultilevel"/>
    <w:tmpl w:val="000410B4"/>
    <w:lvl w:ilvl="0" w:tplc="B67C2030">
      <w:start w:val="1"/>
      <w:numFmt w:val="decimal"/>
      <w:lvlText w:val="%1."/>
      <w:lvlJc w:val="left"/>
      <w:pPr>
        <w:tabs>
          <w:tab w:val="num" w:pos="720"/>
        </w:tabs>
        <w:ind w:left="720" w:hanging="432"/>
      </w:pPr>
      <w:rPr>
        <w:rFonts w:hint="default"/>
        <w:b/>
        <w:i w:val="0"/>
        <w:color w:val="auto"/>
        <w:sz w:val="18"/>
        <w:szCs w:val="18"/>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0">
    <w:nsid w:val="0E910445"/>
    <w:multiLevelType w:val="hybridMultilevel"/>
    <w:tmpl w:val="E7D0D7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ED07561"/>
    <w:multiLevelType w:val="hybridMultilevel"/>
    <w:tmpl w:val="A93CFC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101C2B95"/>
    <w:multiLevelType w:val="hybridMultilevel"/>
    <w:tmpl w:val="64CC409C"/>
    <w:lvl w:ilvl="0" w:tplc="00AE4A6A">
      <w:start w:val="1"/>
      <w:numFmt w:val="decimal"/>
      <w:lvlText w:val="%1"/>
      <w:lvlJc w:val="left"/>
      <w:pPr>
        <w:ind w:left="720" w:hanging="360"/>
      </w:pPr>
      <w:rPr>
        <w:rFonts w:hint="default"/>
        <w:lang w:val="es-ES_tradn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13E2AB9"/>
    <w:multiLevelType w:val="singleLevel"/>
    <w:tmpl w:val="C92C3AC8"/>
    <w:lvl w:ilvl="0">
      <w:start w:val="1"/>
      <w:numFmt w:val="lowerLetter"/>
      <w:lvlText w:val="%1)"/>
      <w:lvlJc w:val="left"/>
      <w:pPr>
        <w:tabs>
          <w:tab w:val="num" w:pos="1143"/>
        </w:tabs>
        <w:ind w:left="1143" w:hanging="576"/>
      </w:pPr>
      <w:rPr>
        <w:rFonts w:hint="default"/>
      </w:rPr>
    </w:lvl>
  </w:abstractNum>
  <w:abstractNum w:abstractNumId="24">
    <w:nsid w:val="114C55D6"/>
    <w:multiLevelType w:val="hybridMultilevel"/>
    <w:tmpl w:val="68D8C08E"/>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33F13FB"/>
    <w:multiLevelType w:val="hybridMultilevel"/>
    <w:tmpl w:val="92AEB50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36E25D8"/>
    <w:multiLevelType w:val="hybridMultilevel"/>
    <w:tmpl w:val="F9AC0660"/>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4FB2286"/>
    <w:multiLevelType w:val="hybridMultilevel"/>
    <w:tmpl w:val="EEDE54CA"/>
    <w:lvl w:ilvl="0" w:tplc="53AC77EA">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28">
    <w:nsid w:val="15087B52"/>
    <w:multiLevelType w:val="hybridMultilevel"/>
    <w:tmpl w:val="79F64766"/>
    <w:lvl w:ilvl="0" w:tplc="040A3310">
      <w:start w:val="4"/>
      <w:numFmt w:val="bullet"/>
      <w:lvlText w:val="-"/>
      <w:lvlJc w:val="left"/>
      <w:pPr>
        <w:ind w:left="678" w:hanging="360"/>
      </w:pPr>
      <w:rPr>
        <w:rFonts w:ascii="Times New Roman" w:eastAsiaTheme="minorHAnsi" w:hAnsi="Times New Roman" w:cs="Times New Roman"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9">
    <w:nsid w:val="15516AD9"/>
    <w:multiLevelType w:val="hybridMultilevel"/>
    <w:tmpl w:val="8D043F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56210E1"/>
    <w:multiLevelType w:val="hybridMultilevel"/>
    <w:tmpl w:val="D00267AC"/>
    <w:lvl w:ilvl="0" w:tplc="BCA0C5E6">
      <w:start w:val="1"/>
      <w:numFmt w:val="decimal"/>
      <w:lvlText w:val="%1"/>
      <w:lvlJc w:val="left"/>
      <w:pPr>
        <w:ind w:left="720" w:hanging="360"/>
      </w:pPr>
      <w:rPr>
        <w:rFonts w:hint="default"/>
      </w:rPr>
    </w:lvl>
    <w:lvl w:ilvl="1" w:tplc="C0BA42D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5E7008C"/>
    <w:multiLevelType w:val="hybridMultilevel"/>
    <w:tmpl w:val="4E14AB00"/>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68B0D13"/>
    <w:multiLevelType w:val="hybridMultilevel"/>
    <w:tmpl w:val="7832B972"/>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69516B8"/>
    <w:multiLevelType w:val="hybridMultilevel"/>
    <w:tmpl w:val="6CCA19C6"/>
    <w:lvl w:ilvl="0" w:tplc="CFCC5DFE">
      <w:start w:val="2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83A2EAD"/>
    <w:multiLevelType w:val="hybridMultilevel"/>
    <w:tmpl w:val="A2DA10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8A9309F"/>
    <w:multiLevelType w:val="hybridMultilevel"/>
    <w:tmpl w:val="E9C262BC"/>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1A2B1140"/>
    <w:multiLevelType w:val="hybridMultilevel"/>
    <w:tmpl w:val="1D8CE080"/>
    <w:lvl w:ilvl="0" w:tplc="BCA0C5E6">
      <w:start w:val="1"/>
      <w:numFmt w:val="decimal"/>
      <w:lvlText w:val="%1"/>
      <w:lvlJc w:val="left"/>
      <w:pPr>
        <w:ind w:left="720" w:hanging="360"/>
      </w:pPr>
      <w:rPr>
        <w:rFonts w:hint="default"/>
      </w:rPr>
    </w:lvl>
    <w:lvl w:ilvl="1" w:tplc="302C536A">
      <w:start w:val="1"/>
      <w:numFmt w:val="lowerLetter"/>
      <w:lvlText w:val="%2)"/>
      <w:lvlJc w:val="left"/>
      <w:pPr>
        <w:ind w:left="1470" w:hanging="3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A5560CE"/>
    <w:multiLevelType w:val="hybridMultilevel"/>
    <w:tmpl w:val="06B8005C"/>
    <w:lvl w:ilvl="0" w:tplc="227436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A637DE2"/>
    <w:multiLevelType w:val="hybridMultilevel"/>
    <w:tmpl w:val="3DB6E742"/>
    <w:lvl w:ilvl="0" w:tplc="CE4278FA">
      <w:start w:val="1"/>
      <w:numFmt w:val="lowerRoman"/>
      <w:lvlText w:val="%1."/>
      <w:lvlJc w:val="left"/>
      <w:pPr>
        <w:tabs>
          <w:tab w:val="num" w:pos="1068"/>
        </w:tabs>
        <w:ind w:left="1068" w:hanging="360"/>
      </w:pPr>
      <w:rPr>
        <w:rFonts w:cs="Times New Roman" w:hint="default"/>
      </w:rPr>
    </w:lvl>
    <w:lvl w:ilvl="1" w:tplc="0C0A0019">
      <w:start w:val="1"/>
      <w:numFmt w:val="lowerLetter"/>
      <w:lvlText w:val="%2."/>
      <w:lvlJc w:val="left"/>
      <w:pPr>
        <w:tabs>
          <w:tab w:val="num" w:pos="1068"/>
        </w:tabs>
        <w:ind w:left="1068" w:hanging="360"/>
      </w:pPr>
      <w:rPr>
        <w:rFonts w:cs="Times New Roman"/>
      </w:rPr>
    </w:lvl>
    <w:lvl w:ilvl="2" w:tplc="0C0A001B" w:tentative="1">
      <w:start w:val="1"/>
      <w:numFmt w:val="lowerRoman"/>
      <w:lvlText w:val="%3."/>
      <w:lvlJc w:val="right"/>
      <w:pPr>
        <w:tabs>
          <w:tab w:val="num" w:pos="1788"/>
        </w:tabs>
        <w:ind w:left="1788" w:hanging="180"/>
      </w:pPr>
      <w:rPr>
        <w:rFonts w:cs="Times New Roman"/>
      </w:rPr>
    </w:lvl>
    <w:lvl w:ilvl="3" w:tplc="0C0A000F" w:tentative="1">
      <w:start w:val="1"/>
      <w:numFmt w:val="decimal"/>
      <w:lvlText w:val="%4."/>
      <w:lvlJc w:val="left"/>
      <w:pPr>
        <w:tabs>
          <w:tab w:val="num" w:pos="2508"/>
        </w:tabs>
        <w:ind w:left="2508" w:hanging="360"/>
      </w:pPr>
      <w:rPr>
        <w:rFonts w:cs="Times New Roman"/>
      </w:rPr>
    </w:lvl>
    <w:lvl w:ilvl="4" w:tplc="0C0A0019" w:tentative="1">
      <w:start w:val="1"/>
      <w:numFmt w:val="lowerLetter"/>
      <w:lvlText w:val="%5."/>
      <w:lvlJc w:val="left"/>
      <w:pPr>
        <w:tabs>
          <w:tab w:val="num" w:pos="3228"/>
        </w:tabs>
        <w:ind w:left="3228" w:hanging="360"/>
      </w:pPr>
      <w:rPr>
        <w:rFonts w:cs="Times New Roman"/>
      </w:rPr>
    </w:lvl>
    <w:lvl w:ilvl="5" w:tplc="0C0A001B" w:tentative="1">
      <w:start w:val="1"/>
      <w:numFmt w:val="lowerRoman"/>
      <w:lvlText w:val="%6."/>
      <w:lvlJc w:val="right"/>
      <w:pPr>
        <w:tabs>
          <w:tab w:val="num" w:pos="3948"/>
        </w:tabs>
        <w:ind w:left="3948" w:hanging="180"/>
      </w:pPr>
      <w:rPr>
        <w:rFonts w:cs="Times New Roman"/>
      </w:rPr>
    </w:lvl>
    <w:lvl w:ilvl="6" w:tplc="0C0A000F" w:tentative="1">
      <w:start w:val="1"/>
      <w:numFmt w:val="decimal"/>
      <w:lvlText w:val="%7."/>
      <w:lvlJc w:val="left"/>
      <w:pPr>
        <w:tabs>
          <w:tab w:val="num" w:pos="4668"/>
        </w:tabs>
        <w:ind w:left="4668" w:hanging="360"/>
      </w:pPr>
      <w:rPr>
        <w:rFonts w:cs="Times New Roman"/>
      </w:rPr>
    </w:lvl>
    <w:lvl w:ilvl="7" w:tplc="0C0A0019" w:tentative="1">
      <w:start w:val="1"/>
      <w:numFmt w:val="lowerLetter"/>
      <w:lvlText w:val="%8."/>
      <w:lvlJc w:val="left"/>
      <w:pPr>
        <w:tabs>
          <w:tab w:val="num" w:pos="5388"/>
        </w:tabs>
        <w:ind w:left="5388" w:hanging="360"/>
      </w:pPr>
      <w:rPr>
        <w:rFonts w:cs="Times New Roman"/>
      </w:rPr>
    </w:lvl>
    <w:lvl w:ilvl="8" w:tplc="0C0A001B" w:tentative="1">
      <w:start w:val="1"/>
      <w:numFmt w:val="lowerRoman"/>
      <w:lvlText w:val="%9."/>
      <w:lvlJc w:val="right"/>
      <w:pPr>
        <w:tabs>
          <w:tab w:val="num" w:pos="6108"/>
        </w:tabs>
        <w:ind w:left="6108" w:hanging="180"/>
      </w:pPr>
      <w:rPr>
        <w:rFonts w:cs="Times New Roman"/>
      </w:rPr>
    </w:lvl>
  </w:abstractNum>
  <w:abstractNum w:abstractNumId="39">
    <w:nsid w:val="1B7D3B52"/>
    <w:multiLevelType w:val="hybridMultilevel"/>
    <w:tmpl w:val="FBEE7C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D5C04CE"/>
    <w:multiLevelType w:val="hybridMultilevel"/>
    <w:tmpl w:val="098EE63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1">
    <w:nsid w:val="1D7A0715"/>
    <w:multiLevelType w:val="hybridMultilevel"/>
    <w:tmpl w:val="A38E13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1D9A5C4C"/>
    <w:multiLevelType w:val="hybridMultilevel"/>
    <w:tmpl w:val="45AEA02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nsid w:val="1E0F5B84"/>
    <w:multiLevelType w:val="hybridMultilevel"/>
    <w:tmpl w:val="68561A88"/>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4">
    <w:nsid w:val="1FE971C7"/>
    <w:multiLevelType w:val="hybridMultilevel"/>
    <w:tmpl w:val="6A3E234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0175607"/>
    <w:multiLevelType w:val="hybridMultilevel"/>
    <w:tmpl w:val="25520100"/>
    <w:lvl w:ilvl="0" w:tplc="BAB2B0A6">
      <w:start w:val="9"/>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3052AF3"/>
    <w:multiLevelType w:val="hybridMultilevel"/>
    <w:tmpl w:val="D08E651A"/>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7">
    <w:nsid w:val="23327E65"/>
    <w:multiLevelType w:val="hybridMultilevel"/>
    <w:tmpl w:val="E3D62D3E"/>
    <w:lvl w:ilvl="0" w:tplc="BCA0C5E6">
      <w:start w:val="1"/>
      <w:numFmt w:val="decimal"/>
      <w:lvlText w:val="%1"/>
      <w:lvlJc w:val="left"/>
      <w:pPr>
        <w:ind w:left="720" w:hanging="360"/>
      </w:pPr>
      <w:rPr>
        <w:rFonts w:hint="default"/>
      </w:rPr>
    </w:lvl>
    <w:lvl w:ilvl="1" w:tplc="35AC6A02">
      <w:start w:val="1"/>
      <w:numFmt w:val="lowerLetter"/>
      <w:lvlText w:val="%2)"/>
      <w:lvlJc w:val="left"/>
      <w:pPr>
        <w:ind w:left="1440" w:hanging="360"/>
      </w:pPr>
      <w:rPr>
        <w:rFonts w:hint="default"/>
      </w:rPr>
    </w:lvl>
    <w:lvl w:ilvl="2" w:tplc="F5B00F46">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4F8042E"/>
    <w:multiLevelType w:val="hybridMultilevel"/>
    <w:tmpl w:val="FF10A218"/>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9">
    <w:nsid w:val="25351438"/>
    <w:multiLevelType w:val="hybridMultilevel"/>
    <w:tmpl w:val="492C9A30"/>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50">
    <w:nsid w:val="264847A1"/>
    <w:multiLevelType w:val="hybridMultilevel"/>
    <w:tmpl w:val="57FE01E8"/>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51">
    <w:nsid w:val="270A66E5"/>
    <w:multiLevelType w:val="hybridMultilevel"/>
    <w:tmpl w:val="33303E54"/>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2">
    <w:nsid w:val="289E5D77"/>
    <w:multiLevelType w:val="hybridMultilevel"/>
    <w:tmpl w:val="BD6083AE"/>
    <w:lvl w:ilvl="0" w:tplc="080A0001">
      <w:start w:val="1"/>
      <w:numFmt w:val="bullet"/>
      <w:lvlText w:val=""/>
      <w:lvlJc w:val="left"/>
      <w:pPr>
        <w:tabs>
          <w:tab w:val="num" w:pos="425"/>
        </w:tabs>
        <w:ind w:left="425" w:hanging="425"/>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53">
    <w:nsid w:val="28FF6D71"/>
    <w:multiLevelType w:val="hybridMultilevel"/>
    <w:tmpl w:val="C4D81D06"/>
    <w:lvl w:ilvl="0" w:tplc="4BC8C0D0">
      <w:start w:val="1"/>
      <w:numFmt w:val="lowerRoman"/>
      <w:lvlText w:val="%1."/>
      <w:lvlJc w:val="right"/>
      <w:pPr>
        <w:ind w:left="1143" w:hanging="360"/>
      </w:pPr>
      <w:rPr>
        <w:rFonts w:hint="default"/>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54">
    <w:nsid w:val="29346896"/>
    <w:multiLevelType w:val="hybridMultilevel"/>
    <w:tmpl w:val="414084C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29543715"/>
    <w:multiLevelType w:val="hybridMultilevel"/>
    <w:tmpl w:val="D09460D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29D918D9"/>
    <w:multiLevelType w:val="hybridMultilevel"/>
    <w:tmpl w:val="EB06F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2A077762"/>
    <w:multiLevelType w:val="hybridMultilevel"/>
    <w:tmpl w:val="693827E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nsid w:val="2AD14C8C"/>
    <w:multiLevelType w:val="hybridMultilevel"/>
    <w:tmpl w:val="9E84B15E"/>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2B1C7FE3"/>
    <w:multiLevelType w:val="hybridMultilevel"/>
    <w:tmpl w:val="6D049784"/>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2B8B24BA"/>
    <w:multiLevelType w:val="hybridMultilevel"/>
    <w:tmpl w:val="C76AB708"/>
    <w:lvl w:ilvl="0" w:tplc="02420E4C">
      <w:start w:val="1"/>
      <w:numFmt w:val="lowerLetter"/>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61">
    <w:nsid w:val="2BFF0877"/>
    <w:multiLevelType w:val="hybridMultilevel"/>
    <w:tmpl w:val="D8F4B892"/>
    <w:lvl w:ilvl="0" w:tplc="BCA0C5E6">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2DFC5625"/>
    <w:multiLevelType w:val="hybridMultilevel"/>
    <w:tmpl w:val="0632182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2E3439A3"/>
    <w:multiLevelType w:val="hybridMultilevel"/>
    <w:tmpl w:val="C9044462"/>
    <w:lvl w:ilvl="0" w:tplc="0C0A0001">
      <w:start w:val="1"/>
      <w:numFmt w:val="lowerLetter"/>
      <w:lvlText w:val="%1)"/>
      <w:lvlJc w:val="left"/>
      <w:pPr>
        <w:tabs>
          <w:tab w:val="num" w:pos="1829"/>
        </w:tabs>
        <w:ind w:left="1829" w:hanging="360"/>
      </w:pPr>
      <w:rPr>
        <w:rFonts w:hint="default"/>
        <w:b/>
        <w:i w:val="0"/>
      </w:rPr>
    </w:lvl>
    <w:lvl w:ilvl="1" w:tplc="0C0A0003"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64">
    <w:nsid w:val="2E9B3E60"/>
    <w:multiLevelType w:val="hybridMultilevel"/>
    <w:tmpl w:val="1CC626D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2EDC59E7"/>
    <w:multiLevelType w:val="hybridMultilevel"/>
    <w:tmpl w:val="54FEE66C"/>
    <w:lvl w:ilvl="0" w:tplc="DDCA28EC">
      <w:start w:val="1"/>
      <w:numFmt w:val="bullet"/>
      <w:lvlText w:val=""/>
      <w:lvlJc w:val="left"/>
      <w:pPr>
        <w:tabs>
          <w:tab w:val="num" w:pos="720"/>
        </w:tabs>
        <w:ind w:left="720" w:hanging="360"/>
      </w:pPr>
      <w:rPr>
        <w:rFonts w:ascii="Symbol" w:hAnsi="Symbol" w:hint="default"/>
      </w:rPr>
    </w:lvl>
    <w:lvl w:ilvl="1" w:tplc="080A0019" w:tentative="1">
      <w:start w:val="1"/>
      <w:numFmt w:val="bullet"/>
      <w:lvlText w:val="o"/>
      <w:lvlJc w:val="left"/>
      <w:pPr>
        <w:tabs>
          <w:tab w:val="num" w:pos="1440"/>
        </w:tabs>
        <w:ind w:left="1440" w:hanging="360"/>
      </w:pPr>
      <w:rPr>
        <w:rFonts w:ascii="Courier New" w:hAnsi="Courier New" w:cs="Courier New" w:hint="default"/>
      </w:rPr>
    </w:lvl>
    <w:lvl w:ilvl="2" w:tplc="080A001B" w:tentative="1">
      <w:start w:val="1"/>
      <w:numFmt w:val="bullet"/>
      <w:lvlText w:val=""/>
      <w:lvlJc w:val="left"/>
      <w:pPr>
        <w:tabs>
          <w:tab w:val="num" w:pos="2160"/>
        </w:tabs>
        <w:ind w:left="2160" w:hanging="360"/>
      </w:pPr>
      <w:rPr>
        <w:rFonts w:ascii="Wingdings" w:hAnsi="Wingdings" w:hint="default"/>
      </w:rPr>
    </w:lvl>
    <w:lvl w:ilvl="3" w:tplc="080A000F" w:tentative="1">
      <w:start w:val="1"/>
      <w:numFmt w:val="bullet"/>
      <w:lvlText w:val=""/>
      <w:lvlJc w:val="left"/>
      <w:pPr>
        <w:tabs>
          <w:tab w:val="num" w:pos="2880"/>
        </w:tabs>
        <w:ind w:left="2880" w:hanging="360"/>
      </w:pPr>
      <w:rPr>
        <w:rFonts w:ascii="Symbol" w:hAnsi="Symbol" w:hint="default"/>
      </w:rPr>
    </w:lvl>
    <w:lvl w:ilvl="4" w:tplc="080A0019" w:tentative="1">
      <w:start w:val="1"/>
      <w:numFmt w:val="bullet"/>
      <w:lvlText w:val="o"/>
      <w:lvlJc w:val="left"/>
      <w:pPr>
        <w:tabs>
          <w:tab w:val="num" w:pos="3600"/>
        </w:tabs>
        <w:ind w:left="3600" w:hanging="360"/>
      </w:pPr>
      <w:rPr>
        <w:rFonts w:ascii="Courier New" w:hAnsi="Courier New" w:cs="Courier New" w:hint="default"/>
      </w:rPr>
    </w:lvl>
    <w:lvl w:ilvl="5" w:tplc="080A001B" w:tentative="1">
      <w:start w:val="1"/>
      <w:numFmt w:val="bullet"/>
      <w:lvlText w:val=""/>
      <w:lvlJc w:val="left"/>
      <w:pPr>
        <w:tabs>
          <w:tab w:val="num" w:pos="4320"/>
        </w:tabs>
        <w:ind w:left="4320" w:hanging="360"/>
      </w:pPr>
      <w:rPr>
        <w:rFonts w:ascii="Wingdings" w:hAnsi="Wingdings" w:hint="default"/>
      </w:rPr>
    </w:lvl>
    <w:lvl w:ilvl="6" w:tplc="080A000F" w:tentative="1">
      <w:start w:val="1"/>
      <w:numFmt w:val="bullet"/>
      <w:lvlText w:val=""/>
      <w:lvlJc w:val="left"/>
      <w:pPr>
        <w:tabs>
          <w:tab w:val="num" w:pos="5040"/>
        </w:tabs>
        <w:ind w:left="5040" w:hanging="360"/>
      </w:pPr>
      <w:rPr>
        <w:rFonts w:ascii="Symbol" w:hAnsi="Symbol" w:hint="default"/>
      </w:rPr>
    </w:lvl>
    <w:lvl w:ilvl="7" w:tplc="080A0019" w:tentative="1">
      <w:start w:val="1"/>
      <w:numFmt w:val="bullet"/>
      <w:lvlText w:val="o"/>
      <w:lvlJc w:val="left"/>
      <w:pPr>
        <w:tabs>
          <w:tab w:val="num" w:pos="5760"/>
        </w:tabs>
        <w:ind w:left="5760" w:hanging="360"/>
      </w:pPr>
      <w:rPr>
        <w:rFonts w:ascii="Courier New" w:hAnsi="Courier New" w:cs="Courier New" w:hint="default"/>
      </w:rPr>
    </w:lvl>
    <w:lvl w:ilvl="8" w:tplc="080A001B" w:tentative="1">
      <w:start w:val="1"/>
      <w:numFmt w:val="bullet"/>
      <w:lvlText w:val=""/>
      <w:lvlJc w:val="left"/>
      <w:pPr>
        <w:tabs>
          <w:tab w:val="num" w:pos="6480"/>
        </w:tabs>
        <w:ind w:left="6480" w:hanging="360"/>
      </w:pPr>
      <w:rPr>
        <w:rFonts w:ascii="Wingdings" w:hAnsi="Wingdings" w:hint="default"/>
      </w:rPr>
    </w:lvl>
  </w:abstractNum>
  <w:abstractNum w:abstractNumId="66">
    <w:nsid w:val="2F214F79"/>
    <w:multiLevelType w:val="hybridMultilevel"/>
    <w:tmpl w:val="20EE8B68"/>
    <w:lvl w:ilvl="0" w:tplc="4BC8C0D0">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2FC30362"/>
    <w:multiLevelType w:val="hybridMultilevel"/>
    <w:tmpl w:val="1AD6C5F2"/>
    <w:lvl w:ilvl="0" w:tplc="CE4278FA">
      <w:start w:val="1"/>
      <w:numFmt w:val="lowerRoman"/>
      <w:lvlText w:val="%1."/>
      <w:lvlJc w:val="left"/>
      <w:pPr>
        <w:tabs>
          <w:tab w:val="num" w:pos="1440"/>
        </w:tabs>
        <w:ind w:left="1440" w:hanging="360"/>
      </w:pPr>
      <w:rPr>
        <w:rFonts w:cs="Times New Roman" w:hint="default"/>
      </w:rPr>
    </w:lvl>
    <w:lvl w:ilvl="1" w:tplc="92DC76F6">
      <w:start w:val="1"/>
      <w:numFmt w:val="lowerLetter"/>
      <w:lvlText w:val="%2)"/>
      <w:lvlJc w:val="left"/>
      <w:pPr>
        <w:ind w:left="1515" w:hanging="435"/>
      </w:pPr>
      <w:rPr>
        <w:rFonts w:hint="default"/>
      </w:rPr>
    </w:lvl>
    <w:lvl w:ilvl="2" w:tplc="593246DE">
      <w:start w:val="2"/>
      <w:numFmt w:val="bullet"/>
      <w:lvlText w:val="-"/>
      <w:lvlJc w:val="left"/>
      <w:pPr>
        <w:ind w:left="2415" w:hanging="435"/>
      </w:pPr>
      <w:rPr>
        <w:rFonts w:ascii="Arial" w:eastAsia="Times New Roman" w:hAnsi="Arial" w:cs="Arial" w:hint="default"/>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8">
    <w:nsid w:val="30765B7F"/>
    <w:multiLevelType w:val="hybridMultilevel"/>
    <w:tmpl w:val="C04E110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5964EB30">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31F11537"/>
    <w:multiLevelType w:val="hybridMultilevel"/>
    <w:tmpl w:val="298E746C"/>
    <w:lvl w:ilvl="0" w:tplc="595CB182">
      <w:start w:val="17"/>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330217A0"/>
    <w:multiLevelType w:val="hybridMultilevel"/>
    <w:tmpl w:val="3204498C"/>
    <w:lvl w:ilvl="0" w:tplc="A9CEE80A">
      <w:start w:val="18"/>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349F674C"/>
    <w:multiLevelType w:val="hybridMultilevel"/>
    <w:tmpl w:val="530A02BC"/>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34B70E5B"/>
    <w:multiLevelType w:val="hybridMultilevel"/>
    <w:tmpl w:val="F2A4355C"/>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3">
    <w:nsid w:val="357577F6"/>
    <w:multiLevelType w:val="hybridMultilevel"/>
    <w:tmpl w:val="B31251B2"/>
    <w:lvl w:ilvl="0" w:tplc="3F32D07A">
      <w:start w:val="1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368C65CB"/>
    <w:multiLevelType w:val="hybridMultilevel"/>
    <w:tmpl w:val="F266E2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36C201F0"/>
    <w:multiLevelType w:val="hybridMultilevel"/>
    <w:tmpl w:val="81FC32FE"/>
    <w:lvl w:ilvl="0" w:tplc="080A0001">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76">
    <w:nsid w:val="36F6332E"/>
    <w:multiLevelType w:val="hybridMultilevel"/>
    <w:tmpl w:val="4A40D530"/>
    <w:lvl w:ilvl="0" w:tplc="99AAACF0">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77">
    <w:nsid w:val="3A18710D"/>
    <w:multiLevelType w:val="hybridMultilevel"/>
    <w:tmpl w:val="BCCA3DC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3BAF5943"/>
    <w:multiLevelType w:val="hybridMultilevel"/>
    <w:tmpl w:val="927624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3E493DC1"/>
    <w:multiLevelType w:val="hybridMultilevel"/>
    <w:tmpl w:val="131A0D44"/>
    <w:lvl w:ilvl="0" w:tplc="081EC728">
      <w:start w:val="1"/>
      <w:numFmt w:val="lowerLetter"/>
      <w:lvlText w:val="%1)"/>
      <w:lvlJc w:val="left"/>
      <w:pPr>
        <w:tabs>
          <w:tab w:val="num" w:pos="709"/>
        </w:tabs>
        <w:ind w:left="709" w:hanging="426"/>
      </w:pPr>
      <w:rPr>
        <w:rFonts w:cs="Times New Roman" w:hint="default"/>
      </w:rPr>
    </w:lvl>
    <w:lvl w:ilvl="1" w:tplc="CE4278FA">
      <w:start w:val="1"/>
      <w:numFmt w:val="lowerRoman"/>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0">
    <w:nsid w:val="3EC43858"/>
    <w:multiLevelType w:val="hybridMultilevel"/>
    <w:tmpl w:val="748C9812"/>
    <w:lvl w:ilvl="0" w:tplc="D3E0DC76">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1">
    <w:nsid w:val="3F3A4991"/>
    <w:multiLevelType w:val="hybridMultilevel"/>
    <w:tmpl w:val="067C0402"/>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2">
    <w:nsid w:val="3FFC5DA2"/>
    <w:multiLevelType w:val="hybridMultilevel"/>
    <w:tmpl w:val="D9702E9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3">
    <w:nsid w:val="423942A2"/>
    <w:multiLevelType w:val="hybridMultilevel"/>
    <w:tmpl w:val="F2B2214C"/>
    <w:lvl w:ilvl="0" w:tplc="CE4278FA">
      <w:start w:val="1"/>
      <w:numFmt w:val="lowerRoman"/>
      <w:lvlText w:val="%1."/>
      <w:lvlJc w:val="left"/>
      <w:pPr>
        <w:tabs>
          <w:tab w:val="num" w:pos="1068"/>
        </w:tabs>
        <w:ind w:left="1068" w:hanging="360"/>
      </w:pPr>
      <w:rPr>
        <w:rFonts w:cs="Times New Roman" w:hint="default"/>
      </w:rPr>
    </w:lvl>
    <w:lvl w:ilvl="1" w:tplc="0C0A0019">
      <w:start w:val="1"/>
      <w:numFmt w:val="lowerLetter"/>
      <w:lvlText w:val="%2."/>
      <w:lvlJc w:val="left"/>
      <w:pPr>
        <w:tabs>
          <w:tab w:val="num" w:pos="1068"/>
        </w:tabs>
        <w:ind w:left="1068" w:hanging="360"/>
      </w:pPr>
      <w:rPr>
        <w:rFonts w:cs="Times New Roman"/>
      </w:rPr>
    </w:lvl>
    <w:lvl w:ilvl="2" w:tplc="0C0A001B" w:tentative="1">
      <w:start w:val="1"/>
      <w:numFmt w:val="lowerRoman"/>
      <w:lvlText w:val="%3."/>
      <w:lvlJc w:val="right"/>
      <w:pPr>
        <w:tabs>
          <w:tab w:val="num" w:pos="1788"/>
        </w:tabs>
        <w:ind w:left="1788" w:hanging="180"/>
      </w:pPr>
      <w:rPr>
        <w:rFonts w:cs="Times New Roman"/>
      </w:rPr>
    </w:lvl>
    <w:lvl w:ilvl="3" w:tplc="0C0A000F" w:tentative="1">
      <w:start w:val="1"/>
      <w:numFmt w:val="decimal"/>
      <w:lvlText w:val="%4."/>
      <w:lvlJc w:val="left"/>
      <w:pPr>
        <w:tabs>
          <w:tab w:val="num" w:pos="2508"/>
        </w:tabs>
        <w:ind w:left="2508" w:hanging="360"/>
      </w:pPr>
      <w:rPr>
        <w:rFonts w:cs="Times New Roman"/>
      </w:rPr>
    </w:lvl>
    <w:lvl w:ilvl="4" w:tplc="0C0A0019" w:tentative="1">
      <w:start w:val="1"/>
      <w:numFmt w:val="lowerLetter"/>
      <w:lvlText w:val="%5."/>
      <w:lvlJc w:val="left"/>
      <w:pPr>
        <w:tabs>
          <w:tab w:val="num" w:pos="3228"/>
        </w:tabs>
        <w:ind w:left="3228" w:hanging="360"/>
      </w:pPr>
      <w:rPr>
        <w:rFonts w:cs="Times New Roman"/>
      </w:rPr>
    </w:lvl>
    <w:lvl w:ilvl="5" w:tplc="0C0A001B" w:tentative="1">
      <w:start w:val="1"/>
      <w:numFmt w:val="lowerRoman"/>
      <w:lvlText w:val="%6."/>
      <w:lvlJc w:val="right"/>
      <w:pPr>
        <w:tabs>
          <w:tab w:val="num" w:pos="3948"/>
        </w:tabs>
        <w:ind w:left="3948" w:hanging="180"/>
      </w:pPr>
      <w:rPr>
        <w:rFonts w:cs="Times New Roman"/>
      </w:rPr>
    </w:lvl>
    <w:lvl w:ilvl="6" w:tplc="0C0A000F" w:tentative="1">
      <w:start w:val="1"/>
      <w:numFmt w:val="decimal"/>
      <w:lvlText w:val="%7."/>
      <w:lvlJc w:val="left"/>
      <w:pPr>
        <w:tabs>
          <w:tab w:val="num" w:pos="4668"/>
        </w:tabs>
        <w:ind w:left="4668" w:hanging="360"/>
      </w:pPr>
      <w:rPr>
        <w:rFonts w:cs="Times New Roman"/>
      </w:rPr>
    </w:lvl>
    <w:lvl w:ilvl="7" w:tplc="0C0A0019" w:tentative="1">
      <w:start w:val="1"/>
      <w:numFmt w:val="lowerLetter"/>
      <w:lvlText w:val="%8."/>
      <w:lvlJc w:val="left"/>
      <w:pPr>
        <w:tabs>
          <w:tab w:val="num" w:pos="5388"/>
        </w:tabs>
        <w:ind w:left="5388" w:hanging="360"/>
      </w:pPr>
      <w:rPr>
        <w:rFonts w:cs="Times New Roman"/>
      </w:rPr>
    </w:lvl>
    <w:lvl w:ilvl="8" w:tplc="0C0A001B" w:tentative="1">
      <w:start w:val="1"/>
      <w:numFmt w:val="lowerRoman"/>
      <w:lvlText w:val="%9."/>
      <w:lvlJc w:val="right"/>
      <w:pPr>
        <w:tabs>
          <w:tab w:val="num" w:pos="6108"/>
        </w:tabs>
        <w:ind w:left="6108" w:hanging="180"/>
      </w:pPr>
      <w:rPr>
        <w:rFonts w:cs="Times New Roman"/>
      </w:rPr>
    </w:lvl>
  </w:abstractNum>
  <w:abstractNum w:abstractNumId="84">
    <w:nsid w:val="425B4FEA"/>
    <w:multiLevelType w:val="hybridMultilevel"/>
    <w:tmpl w:val="EEAE53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43097A64"/>
    <w:multiLevelType w:val="hybridMultilevel"/>
    <w:tmpl w:val="B78290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435D0510"/>
    <w:multiLevelType w:val="hybridMultilevel"/>
    <w:tmpl w:val="CCFC8B5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87">
    <w:nsid w:val="43E32B85"/>
    <w:multiLevelType w:val="hybridMultilevel"/>
    <w:tmpl w:val="01F0AF6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44052D31"/>
    <w:multiLevelType w:val="hybridMultilevel"/>
    <w:tmpl w:val="B8E4865C"/>
    <w:lvl w:ilvl="0" w:tplc="8974A71A">
      <w:start w:val="1"/>
      <w:numFmt w:val="lowerRoman"/>
      <w:lvlText w:val="%1."/>
      <w:lvlJc w:val="left"/>
      <w:pPr>
        <w:tabs>
          <w:tab w:val="num" w:pos="686"/>
        </w:tabs>
        <w:ind w:left="737" w:hanging="17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9">
    <w:nsid w:val="484A0E96"/>
    <w:multiLevelType w:val="hybridMultilevel"/>
    <w:tmpl w:val="95B48B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48954AB8"/>
    <w:multiLevelType w:val="hybridMultilevel"/>
    <w:tmpl w:val="D3421978"/>
    <w:lvl w:ilvl="0" w:tplc="4BC8C0D0">
      <w:start w:val="1"/>
      <w:numFmt w:val="lowerRoman"/>
      <w:lvlText w:val="%1."/>
      <w:lvlJc w:val="right"/>
      <w:pPr>
        <w:ind w:left="1143" w:hanging="360"/>
      </w:pPr>
      <w:rPr>
        <w:rFonts w:hint="default"/>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91">
    <w:nsid w:val="48F22209"/>
    <w:multiLevelType w:val="hybridMultilevel"/>
    <w:tmpl w:val="CC78B846"/>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49B02941"/>
    <w:multiLevelType w:val="hybridMultilevel"/>
    <w:tmpl w:val="99166DB2"/>
    <w:lvl w:ilvl="0" w:tplc="4A3C2CF8">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4A086726"/>
    <w:multiLevelType w:val="hybridMultilevel"/>
    <w:tmpl w:val="C1462BD6"/>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94">
    <w:nsid w:val="4A155E0F"/>
    <w:multiLevelType w:val="hybridMultilevel"/>
    <w:tmpl w:val="716E0A28"/>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5">
    <w:nsid w:val="4A5B52D2"/>
    <w:multiLevelType w:val="hybridMultilevel"/>
    <w:tmpl w:val="EDC2C8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6">
    <w:nsid w:val="4AFC70CE"/>
    <w:multiLevelType w:val="hybridMultilevel"/>
    <w:tmpl w:val="C0063F9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7">
    <w:nsid w:val="4BAC5D87"/>
    <w:multiLevelType w:val="hybridMultilevel"/>
    <w:tmpl w:val="84D425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4D5F0768"/>
    <w:multiLevelType w:val="hybridMultilevel"/>
    <w:tmpl w:val="B7EC6A5C"/>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99">
    <w:nsid w:val="4DF45653"/>
    <w:multiLevelType w:val="hybridMultilevel"/>
    <w:tmpl w:val="F13ABF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0">
    <w:nsid w:val="4E9143F6"/>
    <w:multiLevelType w:val="hybridMultilevel"/>
    <w:tmpl w:val="C90C6E20"/>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1">
    <w:nsid w:val="4FA10972"/>
    <w:multiLevelType w:val="hybridMultilevel"/>
    <w:tmpl w:val="1A86DD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2">
    <w:nsid w:val="50562EC9"/>
    <w:multiLevelType w:val="hybridMultilevel"/>
    <w:tmpl w:val="034E19A6"/>
    <w:lvl w:ilvl="0" w:tplc="9E106582">
      <w:start w:val="10"/>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508248E1"/>
    <w:multiLevelType w:val="hybridMultilevel"/>
    <w:tmpl w:val="73FCF794"/>
    <w:lvl w:ilvl="0" w:tplc="04090017">
      <w:start w:val="1"/>
      <w:numFmt w:val="lowerLetter"/>
      <w:lvlText w:val="%1)"/>
      <w:lvlJc w:val="left"/>
      <w:pPr>
        <w:ind w:left="720" w:hanging="360"/>
      </w:pPr>
    </w:lvl>
    <w:lvl w:ilvl="1" w:tplc="04090017">
      <w:start w:val="1"/>
      <w:numFmt w:val="lowerLetter"/>
      <w:lvlText w:val="%2)"/>
      <w:lvlJc w:val="left"/>
      <w:pPr>
        <w:ind w:left="149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508956C8"/>
    <w:multiLevelType w:val="hybridMultilevel"/>
    <w:tmpl w:val="16A8881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5">
    <w:nsid w:val="536C28A1"/>
    <w:multiLevelType w:val="hybridMultilevel"/>
    <w:tmpl w:val="E06658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54033AE8"/>
    <w:multiLevelType w:val="hybridMultilevel"/>
    <w:tmpl w:val="5E845C26"/>
    <w:lvl w:ilvl="0" w:tplc="17906E70">
      <w:start w:val="2"/>
      <w:numFmt w:val="bullet"/>
      <w:lvlText w:val="-"/>
      <w:lvlJc w:val="left"/>
      <w:pPr>
        <w:ind w:left="-72" w:hanging="360"/>
      </w:pPr>
      <w:rPr>
        <w:rFonts w:ascii="Times New Roman" w:eastAsia="Times New Roman" w:hAnsi="Times New Roman" w:cs="Times New Roman" w:hint="default"/>
      </w:rPr>
    </w:lvl>
    <w:lvl w:ilvl="1" w:tplc="04090003" w:tentative="1">
      <w:start w:val="1"/>
      <w:numFmt w:val="bullet"/>
      <w:lvlText w:val="o"/>
      <w:lvlJc w:val="left"/>
      <w:pPr>
        <w:ind w:left="648" w:hanging="360"/>
      </w:pPr>
      <w:rPr>
        <w:rFonts w:ascii="Courier New" w:hAnsi="Courier New" w:cs="Courier New" w:hint="default"/>
      </w:rPr>
    </w:lvl>
    <w:lvl w:ilvl="2" w:tplc="04090005" w:tentative="1">
      <w:start w:val="1"/>
      <w:numFmt w:val="bullet"/>
      <w:lvlText w:val=""/>
      <w:lvlJc w:val="left"/>
      <w:pPr>
        <w:ind w:left="1368" w:hanging="360"/>
      </w:pPr>
      <w:rPr>
        <w:rFonts w:ascii="Wingdings" w:hAnsi="Wingdings" w:hint="default"/>
      </w:rPr>
    </w:lvl>
    <w:lvl w:ilvl="3" w:tplc="04090001" w:tentative="1">
      <w:start w:val="1"/>
      <w:numFmt w:val="bullet"/>
      <w:lvlText w:val=""/>
      <w:lvlJc w:val="left"/>
      <w:pPr>
        <w:ind w:left="2088" w:hanging="360"/>
      </w:pPr>
      <w:rPr>
        <w:rFonts w:ascii="Symbol" w:hAnsi="Symbol" w:hint="default"/>
      </w:rPr>
    </w:lvl>
    <w:lvl w:ilvl="4" w:tplc="04090003" w:tentative="1">
      <w:start w:val="1"/>
      <w:numFmt w:val="bullet"/>
      <w:lvlText w:val="o"/>
      <w:lvlJc w:val="left"/>
      <w:pPr>
        <w:ind w:left="2808" w:hanging="360"/>
      </w:pPr>
      <w:rPr>
        <w:rFonts w:ascii="Courier New" w:hAnsi="Courier New" w:cs="Courier New" w:hint="default"/>
      </w:rPr>
    </w:lvl>
    <w:lvl w:ilvl="5" w:tplc="04090005" w:tentative="1">
      <w:start w:val="1"/>
      <w:numFmt w:val="bullet"/>
      <w:lvlText w:val=""/>
      <w:lvlJc w:val="left"/>
      <w:pPr>
        <w:ind w:left="3528" w:hanging="360"/>
      </w:pPr>
      <w:rPr>
        <w:rFonts w:ascii="Wingdings" w:hAnsi="Wingdings" w:hint="default"/>
      </w:rPr>
    </w:lvl>
    <w:lvl w:ilvl="6" w:tplc="04090001" w:tentative="1">
      <w:start w:val="1"/>
      <w:numFmt w:val="bullet"/>
      <w:lvlText w:val=""/>
      <w:lvlJc w:val="left"/>
      <w:pPr>
        <w:ind w:left="4248" w:hanging="360"/>
      </w:pPr>
      <w:rPr>
        <w:rFonts w:ascii="Symbol" w:hAnsi="Symbol" w:hint="default"/>
      </w:rPr>
    </w:lvl>
    <w:lvl w:ilvl="7" w:tplc="04090003" w:tentative="1">
      <w:start w:val="1"/>
      <w:numFmt w:val="bullet"/>
      <w:lvlText w:val="o"/>
      <w:lvlJc w:val="left"/>
      <w:pPr>
        <w:ind w:left="4968" w:hanging="360"/>
      </w:pPr>
      <w:rPr>
        <w:rFonts w:ascii="Courier New" w:hAnsi="Courier New" w:cs="Courier New" w:hint="default"/>
      </w:rPr>
    </w:lvl>
    <w:lvl w:ilvl="8" w:tplc="04090005" w:tentative="1">
      <w:start w:val="1"/>
      <w:numFmt w:val="bullet"/>
      <w:lvlText w:val=""/>
      <w:lvlJc w:val="left"/>
      <w:pPr>
        <w:ind w:left="5688" w:hanging="360"/>
      </w:pPr>
      <w:rPr>
        <w:rFonts w:ascii="Wingdings" w:hAnsi="Wingdings" w:hint="default"/>
      </w:rPr>
    </w:lvl>
  </w:abstractNum>
  <w:abstractNum w:abstractNumId="107">
    <w:nsid w:val="54975AD6"/>
    <w:multiLevelType w:val="hybridMultilevel"/>
    <w:tmpl w:val="AE3CDDB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557A74C2"/>
    <w:multiLevelType w:val="hybridMultilevel"/>
    <w:tmpl w:val="32EA955E"/>
    <w:lvl w:ilvl="0" w:tplc="5964EB30">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09">
    <w:nsid w:val="56914F7E"/>
    <w:multiLevelType w:val="hybridMultilevel"/>
    <w:tmpl w:val="968AD68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10">
    <w:nsid w:val="5BCC5C58"/>
    <w:multiLevelType w:val="hybridMultilevel"/>
    <w:tmpl w:val="C6122F68"/>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1">
    <w:nsid w:val="5DB83230"/>
    <w:multiLevelType w:val="hybridMultilevel"/>
    <w:tmpl w:val="1D92BDCE"/>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12">
    <w:nsid w:val="5E4B40CA"/>
    <w:multiLevelType w:val="hybridMultilevel"/>
    <w:tmpl w:val="7F1A7D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5E815524"/>
    <w:multiLevelType w:val="hybridMultilevel"/>
    <w:tmpl w:val="3236A85E"/>
    <w:lvl w:ilvl="0" w:tplc="04090017">
      <w:start w:val="1"/>
      <w:numFmt w:val="lowerLetter"/>
      <w:lvlText w:val="%1)"/>
      <w:lvlJc w:val="left"/>
      <w:pPr>
        <w:ind w:left="288" w:hanging="360"/>
      </w:pPr>
    </w:lvl>
    <w:lvl w:ilvl="1" w:tplc="04090019">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114">
    <w:nsid w:val="5F1A2E87"/>
    <w:multiLevelType w:val="hybridMultilevel"/>
    <w:tmpl w:val="68561A88"/>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15">
    <w:nsid w:val="5F1F6638"/>
    <w:multiLevelType w:val="hybridMultilevel"/>
    <w:tmpl w:val="7B865544"/>
    <w:lvl w:ilvl="0" w:tplc="04090017">
      <w:start w:val="1"/>
      <w:numFmt w:val="lowerLetter"/>
      <w:lvlText w:val="%1)"/>
      <w:lvlJc w:val="left"/>
      <w:pPr>
        <w:ind w:left="288" w:hanging="360"/>
      </w:pPr>
    </w:lvl>
    <w:lvl w:ilvl="1" w:tplc="04090017">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116">
    <w:nsid w:val="60B54E5A"/>
    <w:multiLevelType w:val="hybridMultilevel"/>
    <w:tmpl w:val="2D0A421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7">
    <w:nsid w:val="62C15984"/>
    <w:multiLevelType w:val="hybridMultilevel"/>
    <w:tmpl w:val="ECA89050"/>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18">
    <w:nsid w:val="65801B5C"/>
    <w:multiLevelType w:val="hybridMultilevel"/>
    <w:tmpl w:val="8FCCEF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65E72238"/>
    <w:multiLevelType w:val="hybridMultilevel"/>
    <w:tmpl w:val="CC3219D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0">
    <w:nsid w:val="65E838B5"/>
    <w:multiLevelType w:val="hybridMultilevel"/>
    <w:tmpl w:val="5944F098"/>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67AC777A"/>
    <w:multiLevelType w:val="hybridMultilevel"/>
    <w:tmpl w:val="84CC25BA"/>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68344DD9"/>
    <w:multiLevelType w:val="hybridMultilevel"/>
    <w:tmpl w:val="ACAA857E"/>
    <w:lvl w:ilvl="0" w:tplc="BCA0C5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3">
    <w:nsid w:val="68A2552E"/>
    <w:multiLevelType w:val="hybridMultilevel"/>
    <w:tmpl w:val="BFC44ADA"/>
    <w:lvl w:ilvl="0" w:tplc="B7D890E8">
      <w:start w:val="1"/>
      <w:numFmt w:val="lowerLetter"/>
      <w:lvlText w:val="%1)"/>
      <w:lvlJc w:val="left"/>
      <w:pPr>
        <w:tabs>
          <w:tab w:val="num" w:pos="1212"/>
        </w:tabs>
        <w:ind w:left="1212" w:hanging="360"/>
      </w:pPr>
      <w:rPr>
        <w:rFonts w:cs="Times New Roman" w:hint="default"/>
      </w:rPr>
    </w:lvl>
    <w:lvl w:ilvl="1" w:tplc="85580308">
      <w:start w:val="1"/>
      <w:numFmt w:val="lowerLetter"/>
      <w:lvlText w:val="(%2)"/>
      <w:lvlJc w:val="left"/>
      <w:pPr>
        <w:tabs>
          <w:tab w:val="num" w:pos="1896"/>
        </w:tabs>
        <w:ind w:left="1896" w:hanging="390"/>
      </w:pPr>
      <w:rPr>
        <w:rFonts w:cs="Times New Roman" w:hint="default"/>
      </w:rPr>
    </w:lvl>
    <w:lvl w:ilvl="2" w:tplc="0C0A001B" w:tentative="1">
      <w:start w:val="1"/>
      <w:numFmt w:val="lowerRoman"/>
      <w:lvlText w:val="%3."/>
      <w:lvlJc w:val="right"/>
      <w:pPr>
        <w:tabs>
          <w:tab w:val="num" w:pos="2586"/>
        </w:tabs>
        <w:ind w:left="2586" w:hanging="180"/>
      </w:pPr>
      <w:rPr>
        <w:rFonts w:cs="Times New Roman"/>
      </w:rPr>
    </w:lvl>
    <w:lvl w:ilvl="3" w:tplc="0C0A000F" w:tentative="1">
      <w:start w:val="1"/>
      <w:numFmt w:val="decimal"/>
      <w:lvlText w:val="%4."/>
      <w:lvlJc w:val="left"/>
      <w:pPr>
        <w:tabs>
          <w:tab w:val="num" w:pos="3306"/>
        </w:tabs>
        <w:ind w:left="3306" w:hanging="360"/>
      </w:pPr>
      <w:rPr>
        <w:rFonts w:cs="Times New Roman"/>
      </w:rPr>
    </w:lvl>
    <w:lvl w:ilvl="4" w:tplc="0C0A0019" w:tentative="1">
      <w:start w:val="1"/>
      <w:numFmt w:val="lowerLetter"/>
      <w:lvlText w:val="%5."/>
      <w:lvlJc w:val="left"/>
      <w:pPr>
        <w:tabs>
          <w:tab w:val="num" w:pos="4026"/>
        </w:tabs>
        <w:ind w:left="4026" w:hanging="360"/>
      </w:pPr>
      <w:rPr>
        <w:rFonts w:cs="Times New Roman"/>
      </w:rPr>
    </w:lvl>
    <w:lvl w:ilvl="5" w:tplc="0C0A001B" w:tentative="1">
      <w:start w:val="1"/>
      <w:numFmt w:val="lowerRoman"/>
      <w:lvlText w:val="%6."/>
      <w:lvlJc w:val="right"/>
      <w:pPr>
        <w:tabs>
          <w:tab w:val="num" w:pos="4746"/>
        </w:tabs>
        <w:ind w:left="4746" w:hanging="180"/>
      </w:pPr>
      <w:rPr>
        <w:rFonts w:cs="Times New Roman"/>
      </w:rPr>
    </w:lvl>
    <w:lvl w:ilvl="6" w:tplc="0C0A000F" w:tentative="1">
      <w:start w:val="1"/>
      <w:numFmt w:val="decimal"/>
      <w:lvlText w:val="%7."/>
      <w:lvlJc w:val="left"/>
      <w:pPr>
        <w:tabs>
          <w:tab w:val="num" w:pos="5466"/>
        </w:tabs>
        <w:ind w:left="5466" w:hanging="360"/>
      </w:pPr>
      <w:rPr>
        <w:rFonts w:cs="Times New Roman"/>
      </w:rPr>
    </w:lvl>
    <w:lvl w:ilvl="7" w:tplc="0C0A0019" w:tentative="1">
      <w:start w:val="1"/>
      <w:numFmt w:val="lowerLetter"/>
      <w:lvlText w:val="%8."/>
      <w:lvlJc w:val="left"/>
      <w:pPr>
        <w:tabs>
          <w:tab w:val="num" w:pos="6186"/>
        </w:tabs>
        <w:ind w:left="6186" w:hanging="360"/>
      </w:pPr>
      <w:rPr>
        <w:rFonts w:cs="Times New Roman"/>
      </w:rPr>
    </w:lvl>
    <w:lvl w:ilvl="8" w:tplc="0C0A001B" w:tentative="1">
      <w:start w:val="1"/>
      <w:numFmt w:val="lowerRoman"/>
      <w:lvlText w:val="%9."/>
      <w:lvlJc w:val="right"/>
      <w:pPr>
        <w:tabs>
          <w:tab w:val="num" w:pos="6906"/>
        </w:tabs>
        <w:ind w:left="6906" w:hanging="180"/>
      </w:pPr>
      <w:rPr>
        <w:rFonts w:cs="Times New Roman"/>
      </w:rPr>
    </w:lvl>
  </w:abstractNum>
  <w:abstractNum w:abstractNumId="124">
    <w:nsid w:val="68E14BAD"/>
    <w:multiLevelType w:val="hybridMultilevel"/>
    <w:tmpl w:val="EC28664A"/>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69065E93"/>
    <w:multiLevelType w:val="hybridMultilevel"/>
    <w:tmpl w:val="CCFA16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695D6276"/>
    <w:multiLevelType w:val="hybridMultilevel"/>
    <w:tmpl w:val="07A829CE"/>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27">
    <w:nsid w:val="69AA5B6A"/>
    <w:multiLevelType w:val="hybridMultilevel"/>
    <w:tmpl w:val="5DBC5686"/>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5964EB30">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6A120713"/>
    <w:multiLevelType w:val="hybridMultilevel"/>
    <w:tmpl w:val="03701B9E"/>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29">
    <w:nsid w:val="6AC6764F"/>
    <w:multiLevelType w:val="hybridMultilevel"/>
    <w:tmpl w:val="F7AC4E68"/>
    <w:lvl w:ilvl="0" w:tplc="D8909D3E">
      <w:start w:val="1"/>
      <w:numFmt w:val="lowerLetter"/>
      <w:lvlText w:val="%1)"/>
      <w:lvlJc w:val="left"/>
      <w:pPr>
        <w:ind w:left="-126" w:hanging="360"/>
      </w:pPr>
      <w:rPr>
        <w:rFonts w:hint="default"/>
      </w:rPr>
    </w:lvl>
    <w:lvl w:ilvl="1" w:tplc="04090019" w:tentative="1">
      <w:start w:val="1"/>
      <w:numFmt w:val="lowerLetter"/>
      <w:lvlText w:val="%2."/>
      <w:lvlJc w:val="left"/>
      <w:pPr>
        <w:ind w:left="594" w:hanging="360"/>
      </w:pPr>
    </w:lvl>
    <w:lvl w:ilvl="2" w:tplc="0409001B" w:tentative="1">
      <w:start w:val="1"/>
      <w:numFmt w:val="lowerRoman"/>
      <w:lvlText w:val="%3."/>
      <w:lvlJc w:val="right"/>
      <w:pPr>
        <w:ind w:left="1314" w:hanging="180"/>
      </w:pPr>
    </w:lvl>
    <w:lvl w:ilvl="3" w:tplc="0409000F" w:tentative="1">
      <w:start w:val="1"/>
      <w:numFmt w:val="decimal"/>
      <w:lvlText w:val="%4."/>
      <w:lvlJc w:val="left"/>
      <w:pPr>
        <w:ind w:left="2034" w:hanging="360"/>
      </w:pPr>
    </w:lvl>
    <w:lvl w:ilvl="4" w:tplc="04090019" w:tentative="1">
      <w:start w:val="1"/>
      <w:numFmt w:val="lowerLetter"/>
      <w:lvlText w:val="%5."/>
      <w:lvlJc w:val="left"/>
      <w:pPr>
        <w:ind w:left="2754" w:hanging="360"/>
      </w:pPr>
    </w:lvl>
    <w:lvl w:ilvl="5" w:tplc="0409001B" w:tentative="1">
      <w:start w:val="1"/>
      <w:numFmt w:val="lowerRoman"/>
      <w:lvlText w:val="%6."/>
      <w:lvlJc w:val="right"/>
      <w:pPr>
        <w:ind w:left="3474" w:hanging="180"/>
      </w:pPr>
    </w:lvl>
    <w:lvl w:ilvl="6" w:tplc="0409000F" w:tentative="1">
      <w:start w:val="1"/>
      <w:numFmt w:val="decimal"/>
      <w:lvlText w:val="%7."/>
      <w:lvlJc w:val="left"/>
      <w:pPr>
        <w:ind w:left="4194" w:hanging="360"/>
      </w:pPr>
    </w:lvl>
    <w:lvl w:ilvl="7" w:tplc="04090019" w:tentative="1">
      <w:start w:val="1"/>
      <w:numFmt w:val="lowerLetter"/>
      <w:lvlText w:val="%8."/>
      <w:lvlJc w:val="left"/>
      <w:pPr>
        <w:ind w:left="4914" w:hanging="360"/>
      </w:pPr>
    </w:lvl>
    <w:lvl w:ilvl="8" w:tplc="0409001B" w:tentative="1">
      <w:start w:val="1"/>
      <w:numFmt w:val="lowerRoman"/>
      <w:lvlText w:val="%9."/>
      <w:lvlJc w:val="right"/>
      <w:pPr>
        <w:ind w:left="5634" w:hanging="180"/>
      </w:pPr>
    </w:lvl>
  </w:abstractNum>
  <w:abstractNum w:abstractNumId="130">
    <w:nsid w:val="6BBE3149"/>
    <w:multiLevelType w:val="hybridMultilevel"/>
    <w:tmpl w:val="009493C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6BF6147C"/>
    <w:multiLevelType w:val="hybridMultilevel"/>
    <w:tmpl w:val="18B06418"/>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6C4B4950"/>
    <w:multiLevelType w:val="hybridMultilevel"/>
    <w:tmpl w:val="8946B58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6CF94929"/>
    <w:multiLevelType w:val="hybridMultilevel"/>
    <w:tmpl w:val="D3A01AB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34">
    <w:nsid w:val="6D6D2F23"/>
    <w:multiLevelType w:val="hybridMultilevel"/>
    <w:tmpl w:val="53704B6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F012868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70901A42"/>
    <w:multiLevelType w:val="hybridMultilevel"/>
    <w:tmpl w:val="4E8EF8B0"/>
    <w:lvl w:ilvl="0" w:tplc="00AE4A6A">
      <w:start w:val="1"/>
      <w:numFmt w:val="decimal"/>
      <w:lvlText w:val="%1"/>
      <w:lvlJc w:val="left"/>
      <w:pPr>
        <w:ind w:left="720" w:hanging="360"/>
      </w:pPr>
      <w:rPr>
        <w:rFonts w:hint="default"/>
        <w:lang w:val="es-ES_tradnl"/>
      </w:rPr>
    </w:lvl>
    <w:lvl w:ilvl="1" w:tplc="A5CE61D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70B10B18"/>
    <w:multiLevelType w:val="hybridMultilevel"/>
    <w:tmpl w:val="A1E6A4D2"/>
    <w:lvl w:ilvl="0" w:tplc="5964EB30">
      <w:start w:val="1"/>
      <w:numFmt w:val="bullet"/>
      <w:lvlText w:val=""/>
      <w:lvlJc w:val="left"/>
      <w:pPr>
        <w:ind w:left="642" w:hanging="360"/>
      </w:pPr>
      <w:rPr>
        <w:rFonts w:ascii="Symbol" w:hAnsi="Symbol" w:hint="default"/>
      </w:rPr>
    </w:lvl>
    <w:lvl w:ilvl="1" w:tplc="04090003" w:tentative="1">
      <w:start w:val="1"/>
      <w:numFmt w:val="bullet"/>
      <w:lvlText w:val="o"/>
      <w:lvlJc w:val="left"/>
      <w:pPr>
        <w:ind w:left="1362" w:hanging="360"/>
      </w:pPr>
      <w:rPr>
        <w:rFonts w:ascii="Courier New" w:hAnsi="Courier New" w:cs="Courier New" w:hint="default"/>
      </w:rPr>
    </w:lvl>
    <w:lvl w:ilvl="2" w:tplc="04090005" w:tentative="1">
      <w:start w:val="1"/>
      <w:numFmt w:val="bullet"/>
      <w:lvlText w:val=""/>
      <w:lvlJc w:val="left"/>
      <w:pPr>
        <w:ind w:left="2082" w:hanging="360"/>
      </w:pPr>
      <w:rPr>
        <w:rFonts w:ascii="Wingdings" w:hAnsi="Wingdings" w:hint="default"/>
      </w:rPr>
    </w:lvl>
    <w:lvl w:ilvl="3" w:tplc="04090001" w:tentative="1">
      <w:start w:val="1"/>
      <w:numFmt w:val="bullet"/>
      <w:lvlText w:val=""/>
      <w:lvlJc w:val="left"/>
      <w:pPr>
        <w:ind w:left="2802" w:hanging="360"/>
      </w:pPr>
      <w:rPr>
        <w:rFonts w:ascii="Symbol" w:hAnsi="Symbol" w:hint="default"/>
      </w:rPr>
    </w:lvl>
    <w:lvl w:ilvl="4" w:tplc="04090003" w:tentative="1">
      <w:start w:val="1"/>
      <w:numFmt w:val="bullet"/>
      <w:lvlText w:val="o"/>
      <w:lvlJc w:val="left"/>
      <w:pPr>
        <w:ind w:left="3522" w:hanging="360"/>
      </w:pPr>
      <w:rPr>
        <w:rFonts w:ascii="Courier New" w:hAnsi="Courier New" w:cs="Courier New" w:hint="default"/>
      </w:rPr>
    </w:lvl>
    <w:lvl w:ilvl="5" w:tplc="04090005" w:tentative="1">
      <w:start w:val="1"/>
      <w:numFmt w:val="bullet"/>
      <w:lvlText w:val=""/>
      <w:lvlJc w:val="left"/>
      <w:pPr>
        <w:ind w:left="4242" w:hanging="360"/>
      </w:pPr>
      <w:rPr>
        <w:rFonts w:ascii="Wingdings" w:hAnsi="Wingdings" w:hint="default"/>
      </w:rPr>
    </w:lvl>
    <w:lvl w:ilvl="6" w:tplc="04090001" w:tentative="1">
      <w:start w:val="1"/>
      <w:numFmt w:val="bullet"/>
      <w:lvlText w:val=""/>
      <w:lvlJc w:val="left"/>
      <w:pPr>
        <w:ind w:left="4962" w:hanging="360"/>
      </w:pPr>
      <w:rPr>
        <w:rFonts w:ascii="Symbol" w:hAnsi="Symbol" w:hint="default"/>
      </w:rPr>
    </w:lvl>
    <w:lvl w:ilvl="7" w:tplc="04090003" w:tentative="1">
      <w:start w:val="1"/>
      <w:numFmt w:val="bullet"/>
      <w:lvlText w:val="o"/>
      <w:lvlJc w:val="left"/>
      <w:pPr>
        <w:ind w:left="5682" w:hanging="360"/>
      </w:pPr>
      <w:rPr>
        <w:rFonts w:ascii="Courier New" w:hAnsi="Courier New" w:cs="Courier New" w:hint="default"/>
      </w:rPr>
    </w:lvl>
    <w:lvl w:ilvl="8" w:tplc="04090005" w:tentative="1">
      <w:start w:val="1"/>
      <w:numFmt w:val="bullet"/>
      <w:lvlText w:val=""/>
      <w:lvlJc w:val="left"/>
      <w:pPr>
        <w:ind w:left="6402" w:hanging="360"/>
      </w:pPr>
      <w:rPr>
        <w:rFonts w:ascii="Wingdings" w:hAnsi="Wingdings" w:hint="default"/>
      </w:rPr>
    </w:lvl>
  </w:abstractNum>
  <w:abstractNum w:abstractNumId="137">
    <w:nsid w:val="71F04FA6"/>
    <w:multiLevelType w:val="hybridMultilevel"/>
    <w:tmpl w:val="90EC2360"/>
    <w:lvl w:ilvl="0" w:tplc="081EC728">
      <w:start w:val="1"/>
      <w:numFmt w:val="lowerLetter"/>
      <w:lvlText w:val="%1)"/>
      <w:lvlJc w:val="left"/>
      <w:pPr>
        <w:tabs>
          <w:tab w:val="num" w:pos="709"/>
        </w:tabs>
        <w:ind w:left="709" w:hanging="426"/>
      </w:pPr>
      <w:rPr>
        <w:rFonts w:cs="Times New Roman" w:hint="default"/>
      </w:rPr>
    </w:lvl>
    <w:lvl w:ilvl="1" w:tplc="CE4278FA">
      <w:start w:val="1"/>
      <w:numFmt w:val="lowerRoman"/>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38">
    <w:nsid w:val="722120ED"/>
    <w:multiLevelType w:val="hybridMultilevel"/>
    <w:tmpl w:val="C17C2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751F6953"/>
    <w:multiLevelType w:val="hybridMultilevel"/>
    <w:tmpl w:val="064614EE"/>
    <w:lvl w:ilvl="0" w:tplc="080A0001">
      <w:start w:val="1"/>
      <w:numFmt w:val="upperLetter"/>
      <w:lvlText w:val="%1."/>
      <w:lvlJc w:val="left"/>
      <w:pPr>
        <w:tabs>
          <w:tab w:val="num" w:pos="720"/>
        </w:tabs>
        <w:ind w:left="720" w:hanging="432"/>
      </w:pPr>
      <w:rPr>
        <w:rFonts w:hint="default"/>
        <w:b/>
      </w:rPr>
    </w:lvl>
    <w:lvl w:ilvl="1" w:tplc="080A0003" w:tentative="1">
      <w:start w:val="1"/>
      <w:numFmt w:val="lowerLetter"/>
      <w:lvlText w:val="%2."/>
      <w:lvlJc w:val="left"/>
      <w:pPr>
        <w:tabs>
          <w:tab w:val="num" w:pos="1440"/>
        </w:tabs>
        <w:ind w:left="1440" w:hanging="360"/>
      </w:pPr>
    </w:lvl>
    <w:lvl w:ilvl="2" w:tplc="080A0005" w:tentative="1">
      <w:start w:val="1"/>
      <w:numFmt w:val="lowerRoman"/>
      <w:lvlText w:val="%3."/>
      <w:lvlJc w:val="right"/>
      <w:pPr>
        <w:tabs>
          <w:tab w:val="num" w:pos="2160"/>
        </w:tabs>
        <w:ind w:left="2160" w:hanging="180"/>
      </w:pPr>
    </w:lvl>
    <w:lvl w:ilvl="3" w:tplc="080A0001" w:tentative="1">
      <w:start w:val="1"/>
      <w:numFmt w:val="decimal"/>
      <w:lvlText w:val="%4."/>
      <w:lvlJc w:val="left"/>
      <w:pPr>
        <w:tabs>
          <w:tab w:val="num" w:pos="2880"/>
        </w:tabs>
        <w:ind w:left="2880" w:hanging="360"/>
      </w:pPr>
    </w:lvl>
    <w:lvl w:ilvl="4" w:tplc="080A0003" w:tentative="1">
      <w:start w:val="1"/>
      <w:numFmt w:val="lowerLetter"/>
      <w:lvlText w:val="%5."/>
      <w:lvlJc w:val="left"/>
      <w:pPr>
        <w:tabs>
          <w:tab w:val="num" w:pos="3600"/>
        </w:tabs>
        <w:ind w:left="3600" w:hanging="360"/>
      </w:pPr>
    </w:lvl>
    <w:lvl w:ilvl="5" w:tplc="080A0005" w:tentative="1">
      <w:start w:val="1"/>
      <w:numFmt w:val="lowerRoman"/>
      <w:lvlText w:val="%6."/>
      <w:lvlJc w:val="right"/>
      <w:pPr>
        <w:tabs>
          <w:tab w:val="num" w:pos="4320"/>
        </w:tabs>
        <w:ind w:left="4320" w:hanging="180"/>
      </w:pPr>
    </w:lvl>
    <w:lvl w:ilvl="6" w:tplc="080A0001" w:tentative="1">
      <w:start w:val="1"/>
      <w:numFmt w:val="decimal"/>
      <w:lvlText w:val="%7."/>
      <w:lvlJc w:val="left"/>
      <w:pPr>
        <w:tabs>
          <w:tab w:val="num" w:pos="5040"/>
        </w:tabs>
        <w:ind w:left="5040" w:hanging="360"/>
      </w:pPr>
    </w:lvl>
    <w:lvl w:ilvl="7" w:tplc="080A0003" w:tentative="1">
      <w:start w:val="1"/>
      <w:numFmt w:val="lowerLetter"/>
      <w:lvlText w:val="%8."/>
      <w:lvlJc w:val="left"/>
      <w:pPr>
        <w:tabs>
          <w:tab w:val="num" w:pos="5760"/>
        </w:tabs>
        <w:ind w:left="5760" w:hanging="360"/>
      </w:pPr>
    </w:lvl>
    <w:lvl w:ilvl="8" w:tplc="080A0005" w:tentative="1">
      <w:start w:val="1"/>
      <w:numFmt w:val="lowerRoman"/>
      <w:lvlText w:val="%9."/>
      <w:lvlJc w:val="right"/>
      <w:pPr>
        <w:tabs>
          <w:tab w:val="num" w:pos="6480"/>
        </w:tabs>
        <w:ind w:left="6480" w:hanging="180"/>
      </w:pPr>
    </w:lvl>
  </w:abstractNum>
  <w:abstractNum w:abstractNumId="140">
    <w:nsid w:val="754F3149"/>
    <w:multiLevelType w:val="hybridMultilevel"/>
    <w:tmpl w:val="F914F9D2"/>
    <w:lvl w:ilvl="0" w:tplc="04090017">
      <w:start w:val="1"/>
      <w:numFmt w:val="lowerLetter"/>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41">
    <w:nsid w:val="75B331E1"/>
    <w:multiLevelType w:val="hybridMultilevel"/>
    <w:tmpl w:val="649057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76A27010"/>
    <w:multiLevelType w:val="hybridMultilevel"/>
    <w:tmpl w:val="CA081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78EF3CBF"/>
    <w:multiLevelType w:val="hybridMultilevel"/>
    <w:tmpl w:val="647442B6"/>
    <w:lvl w:ilvl="0" w:tplc="5D144D54">
      <w:start w:val="16"/>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7B246B1B"/>
    <w:multiLevelType w:val="hybridMultilevel"/>
    <w:tmpl w:val="6A70A16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45">
    <w:nsid w:val="7B7347CA"/>
    <w:multiLevelType w:val="hybridMultilevel"/>
    <w:tmpl w:val="91BC8486"/>
    <w:lvl w:ilvl="0" w:tplc="BCA0C5E6">
      <w:start w:val="1"/>
      <w:numFmt w:val="decimal"/>
      <w:lvlText w:val="%1"/>
      <w:lvlJc w:val="left"/>
      <w:pPr>
        <w:ind w:left="720" w:hanging="360"/>
      </w:pPr>
      <w:rPr>
        <w:rFonts w:hint="default"/>
      </w:rPr>
    </w:lvl>
    <w:lvl w:ilvl="1" w:tplc="7A0C7D5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7CA5297E"/>
    <w:multiLevelType w:val="hybridMultilevel"/>
    <w:tmpl w:val="236E84B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7">
    <w:nsid w:val="7D3F288A"/>
    <w:multiLevelType w:val="hybridMultilevel"/>
    <w:tmpl w:val="CAA0ED0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7E4747D3"/>
    <w:multiLevelType w:val="hybridMultilevel"/>
    <w:tmpl w:val="4B3CA22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num w:numId="1">
    <w:abstractNumId w:val="57"/>
  </w:num>
  <w:num w:numId="2">
    <w:abstractNumId w:val="42"/>
  </w:num>
  <w:num w:numId="3">
    <w:abstractNumId w:val="82"/>
  </w:num>
  <w:num w:numId="4">
    <w:abstractNumId w:val="117"/>
  </w:num>
  <w:num w:numId="5">
    <w:abstractNumId w:val="116"/>
  </w:num>
  <w:num w:numId="6">
    <w:abstractNumId w:val="21"/>
  </w:num>
  <w:num w:numId="7">
    <w:abstractNumId w:val="104"/>
  </w:num>
  <w:num w:numId="8">
    <w:abstractNumId w:val="99"/>
  </w:num>
  <w:num w:numId="9">
    <w:abstractNumId w:val="1"/>
  </w:num>
  <w:num w:numId="10">
    <w:abstractNumId w:val="96"/>
  </w:num>
  <w:num w:numId="11">
    <w:abstractNumId w:val="23"/>
  </w:num>
  <w:num w:numId="12">
    <w:abstractNumId w:val="65"/>
  </w:num>
  <w:num w:numId="13">
    <w:abstractNumId w:val="50"/>
  </w:num>
  <w:num w:numId="14">
    <w:abstractNumId w:val="101"/>
  </w:num>
  <w:num w:numId="15">
    <w:abstractNumId w:val="119"/>
  </w:num>
  <w:num w:numId="16">
    <w:abstractNumId w:val="111"/>
  </w:num>
  <w:num w:numId="17">
    <w:abstractNumId w:val="41"/>
  </w:num>
  <w:num w:numId="18">
    <w:abstractNumId w:val="76"/>
  </w:num>
  <w:num w:numId="19">
    <w:abstractNumId w:val="10"/>
  </w:num>
  <w:num w:numId="20">
    <w:abstractNumId w:val="95"/>
  </w:num>
  <w:num w:numId="21">
    <w:abstractNumId w:val="93"/>
  </w:num>
  <w:num w:numId="22">
    <w:abstractNumId w:val="3"/>
  </w:num>
  <w:num w:numId="23">
    <w:abstractNumId w:val="52"/>
  </w:num>
  <w:num w:numId="24">
    <w:abstractNumId w:val="109"/>
  </w:num>
  <w:num w:numId="25">
    <w:abstractNumId w:val="63"/>
  </w:num>
  <w:num w:numId="26">
    <w:abstractNumId w:val="75"/>
  </w:num>
  <w:num w:numId="27">
    <w:abstractNumId w:val="8"/>
  </w:num>
  <w:num w:numId="28">
    <w:abstractNumId w:val="19"/>
  </w:num>
  <w:num w:numId="29">
    <w:abstractNumId w:val="139"/>
  </w:num>
  <w:num w:numId="30">
    <w:abstractNumId w:val="27"/>
  </w:num>
  <w:num w:numId="31">
    <w:abstractNumId w:val="48"/>
  </w:num>
  <w:num w:numId="32">
    <w:abstractNumId w:val="46"/>
  </w:num>
  <w:num w:numId="33">
    <w:abstractNumId w:val="148"/>
  </w:num>
  <w:num w:numId="34">
    <w:abstractNumId w:val="133"/>
  </w:num>
  <w:num w:numId="35">
    <w:abstractNumId w:val="86"/>
  </w:num>
  <w:num w:numId="36">
    <w:abstractNumId w:val="49"/>
  </w:num>
  <w:num w:numId="37">
    <w:abstractNumId w:val="128"/>
  </w:num>
  <w:num w:numId="38">
    <w:abstractNumId w:val="40"/>
  </w:num>
  <w:num w:numId="39">
    <w:abstractNumId w:val="98"/>
  </w:num>
  <w:num w:numId="40">
    <w:abstractNumId w:val="144"/>
  </w:num>
  <w:num w:numId="41">
    <w:abstractNumId w:val="126"/>
  </w:num>
  <w:num w:numId="42">
    <w:abstractNumId w:val="37"/>
  </w:num>
  <w:num w:numId="43">
    <w:abstractNumId w:val="14"/>
  </w:num>
  <w:num w:numId="44">
    <w:abstractNumId w:val="30"/>
  </w:num>
  <w:num w:numId="45">
    <w:abstractNumId w:val="145"/>
  </w:num>
  <w:num w:numId="46">
    <w:abstractNumId w:val="2"/>
  </w:num>
  <w:num w:numId="47">
    <w:abstractNumId w:val="58"/>
  </w:num>
  <w:num w:numId="48">
    <w:abstractNumId w:val="20"/>
  </w:num>
  <w:num w:numId="49">
    <w:abstractNumId w:val="13"/>
  </w:num>
  <w:num w:numId="50">
    <w:abstractNumId w:val="29"/>
  </w:num>
  <w:num w:numId="51">
    <w:abstractNumId w:val="142"/>
  </w:num>
  <w:num w:numId="52">
    <w:abstractNumId w:val="92"/>
  </w:num>
  <w:num w:numId="53">
    <w:abstractNumId w:val="112"/>
  </w:num>
  <w:num w:numId="54">
    <w:abstractNumId w:val="118"/>
  </w:num>
  <w:num w:numId="55">
    <w:abstractNumId w:val="97"/>
  </w:num>
  <w:num w:numId="56">
    <w:abstractNumId w:val="84"/>
  </w:num>
  <w:num w:numId="57">
    <w:abstractNumId w:val="85"/>
  </w:num>
  <w:num w:numId="58">
    <w:abstractNumId w:val="135"/>
  </w:num>
  <w:num w:numId="59">
    <w:abstractNumId w:val="123"/>
  </w:num>
  <w:num w:numId="60">
    <w:abstractNumId w:val="80"/>
  </w:num>
  <w:num w:numId="61">
    <w:abstractNumId w:val="18"/>
  </w:num>
  <w:num w:numId="62">
    <w:abstractNumId w:val="137"/>
  </w:num>
  <w:num w:numId="63">
    <w:abstractNumId w:val="88"/>
  </w:num>
  <w:num w:numId="64">
    <w:abstractNumId w:val="4"/>
  </w:num>
  <w:num w:numId="65">
    <w:abstractNumId w:val="79"/>
  </w:num>
  <w:num w:numId="66">
    <w:abstractNumId w:val="114"/>
  </w:num>
  <w:num w:numId="67">
    <w:abstractNumId w:val="6"/>
  </w:num>
  <w:num w:numId="68">
    <w:abstractNumId w:val="43"/>
  </w:num>
  <w:num w:numId="69">
    <w:abstractNumId w:val="45"/>
  </w:num>
  <w:num w:numId="70">
    <w:abstractNumId w:val="102"/>
  </w:num>
  <w:num w:numId="71">
    <w:abstractNumId w:val="73"/>
  </w:num>
  <w:num w:numId="72">
    <w:abstractNumId w:val="143"/>
  </w:num>
  <w:num w:numId="73">
    <w:abstractNumId w:val="69"/>
  </w:num>
  <w:num w:numId="74">
    <w:abstractNumId w:val="90"/>
  </w:num>
  <w:num w:numId="75">
    <w:abstractNumId w:val="72"/>
  </w:num>
  <w:num w:numId="76">
    <w:abstractNumId w:val="38"/>
  </w:num>
  <w:num w:numId="77">
    <w:abstractNumId w:val="83"/>
  </w:num>
  <w:num w:numId="78">
    <w:abstractNumId w:val="67"/>
  </w:num>
  <w:num w:numId="79">
    <w:abstractNumId w:val="70"/>
  </w:num>
  <w:num w:numId="80">
    <w:abstractNumId w:val="33"/>
  </w:num>
  <w:num w:numId="81">
    <w:abstractNumId w:val="22"/>
  </w:num>
  <w:num w:numId="82">
    <w:abstractNumId w:val="47"/>
  </w:num>
  <w:num w:numId="83">
    <w:abstractNumId w:val="59"/>
  </w:num>
  <w:num w:numId="84">
    <w:abstractNumId w:val="34"/>
  </w:num>
  <w:num w:numId="85">
    <w:abstractNumId w:val="147"/>
  </w:num>
  <w:num w:numId="86">
    <w:abstractNumId w:val="77"/>
  </w:num>
  <w:num w:numId="87">
    <w:abstractNumId w:val="9"/>
  </w:num>
  <w:num w:numId="88">
    <w:abstractNumId w:val="120"/>
  </w:num>
  <w:num w:numId="89">
    <w:abstractNumId w:val="131"/>
  </w:num>
  <w:num w:numId="90">
    <w:abstractNumId w:val="140"/>
  </w:num>
  <w:num w:numId="91">
    <w:abstractNumId w:val="31"/>
  </w:num>
  <w:num w:numId="92">
    <w:abstractNumId w:val="24"/>
  </w:num>
  <w:num w:numId="93">
    <w:abstractNumId w:val="0"/>
  </w:num>
  <w:num w:numId="94">
    <w:abstractNumId w:val="36"/>
  </w:num>
  <w:num w:numId="95">
    <w:abstractNumId w:val="132"/>
  </w:num>
  <w:num w:numId="96">
    <w:abstractNumId w:val="127"/>
  </w:num>
  <w:num w:numId="97">
    <w:abstractNumId w:val="78"/>
  </w:num>
  <w:num w:numId="98">
    <w:abstractNumId w:val="66"/>
  </w:num>
  <w:num w:numId="99">
    <w:abstractNumId w:val="108"/>
  </w:num>
  <w:num w:numId="100">
    <w:abstractNumId w:val="81"/>
  </w:num>
  <w:num w:numId="101">
    <w:abstractNumId w:val="100"/>
  </w:num>
  <w:num w:numId="102">
    <w:abstractNumId w:val="51"/>
  </w:num>
  <w:num w:numId="103">
    <w:abstractNumId w:val="94"/>
  </w:num>
  <w:num w:numId="104">
    <w:abstractNumId w:val="124"/>
  </w:num>
  <w:num w:numId="105">
    <w:abstractNumId w:val="5"/>
  </w:num>
  <w:num w:numId="106">
    <w:abstractNumId w:val="16"/>
  </w:num>
  <w:num w:numId="107">
    <w:abstractNumId w:val="35"/>
  </w:num>
  <w:num w:numId="108">
    <w:abstractNumId w:val="64"/>
  </w:num>
  <w:num w:numId="109">
    <w:abstractNumId w:val="134"/>
  </w:num>
  <w:num w:numId="110">
    <w:abstractNumId w:val="107"/>
  </w:num>
  <w:num w:numId="111">
    <w:abstractNumId w:val="74"/>
  </w:num>
  <w:num w:numId="112">
    <w:abstractNumId w:val="87"/>
  </w:num>
  <w:num w:numId="113">
    <w:abstractNumId w:val="44"/>
  </w:num>
  <w:num w:numId="114">
    <w:abstractNumId w:val="54"/>
  </w:num>
  <w:num w:numId="115">
    <w:abstractNumId w:val="138"/>
  </w:num>
  <w:num w:numId="116">
    <w:abstractNumId w:val="89"/>
  </w:num>
  <w:num w:numId="117">
    <w:abstractNumId w:val="56"/>
  </w:num>
  <w:num w:numId="118">
    <w:abstractNumId w:val="71"/>
  </w:num>
  <w:num w:numId="119">
    <w:abstractNumId w:val="113"/>
  </w:num>
  <w:num w:numId="120">
    <w:abstractNumId w:val="115"/>
  </w:num>
  <w:num w:numId="121">
    <w:abstractNumId w:val="136"/>
  </w:num>
  <w:num w:numId="122">
    <w:abstractNumId w:val="106"/>
  </w:num>
  <w:num w:numId="123">
    <w:abstractNumId w:val="60"/>
  </w:num>
  <w:num w:numId="124">
    <w:abstractNumId w:val="17"/>
  </w:num>
  <w:num w:numId="125">
    <w:abstractNumId w:val="26"/>
  </w:num>
  <w:num w:numId="126">
    <w:abstractNumId w:val="122"/>
  </w:num>
  <w:num w:numId="127">
    <w:abstractNumId w:val="121"/>
  </w:num>
  <w:num w:numId="128">
    <w:abstractNumId w:val="39"/>
  </w:num>
  <w:num w:numId="129">
    <w:abstractNumId w:val="91"/>
  </w:num>
  <w:num w:numId="130">
    <w:abstractNumId w:val="32"/>
  </w:num>
  <w:num w:numId="131">
    <w:abstractNumId w:val="105"/>
  </w:num>
  <w:num w:numId="132">
    <w:abstractNumId w:val="53"/>
  </w:num>
  <w:num w:numId="133">
    <w:abstractNumId w:val="62"/>
  </w:num>
  <w:num w:numId="134">
    <w:abstractNumId w:val="68"/>
  </w:num>
  <w:num w:numId="135">
    <w:abstractNumId w:val="11"/>
  </w:num>
  <w:num w:numId="136">
    <w:abstractNumId w:val="110"/>
  </w:num>
  <w:num w:numId="137">
    <w:abstractNumId w:val="15"/>
  </w:num>
  <w:num w:numId="138">
    <w:abstractNumId w:val="146"/>
  </w:num>
  <w:num w:numId="139">
    <w:abstractNumId w:val="7"/>
  </w:num>
  <w:num w:numId="140">
    <w:abstractNumId w:val="141"/>
  </w:num>
  <w:num w:numId="141">
    <w:abstractNumId w:val="25"/>
  </w:num>
  <w:num w:numId="142">
    <w:abstractNumId w:val="103"/>
  </w:num>
  <w:num w:numId="143">
    <w:abstractNumId w:val="125"/>
  </w:num>
  <w:num w:numId="144">
    <w:abstractNumId w:val="130"/>
  </w:num>
  <w:num w:numId="145">
    <w:abstractNumId w:val="55"/>
  </w:num>
  <w:num w:numId="146">
    <w:abstractNumId w:val="129"/>
  </w:num>
  <w:num w:numId="147">
    <w:abstractNumId w:val="12"/>
  </w:num>
  <w:num w:numId="148">
    <w:abstractNumId w:val="28"/>
  </w:num>
  <w:num w:numId="149">
    <w:abstractNumId w:val="61"/>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C1C"/>
    <w:rsid w:val="00000E22"/>
    <w:rsid w:val="0001139A"/>
    <w:rsid w:val="00021A0A"/>
    <w:rsid w:val="000249BC"/>
    <w:rsid w:val="00031F6B"/>
    <w:rsid w:val="00036AA2"/>
    <w:rsid w:val="00040C87"/>
    <w:rsid w:val="00045305"/>
    <w:rsid w:val="00050414"/>
    <w:rsid w:val="00051217"/>
    <w:rsid w:val="00055D5E"/>
    <w:rsid w:val="000649C6"/>
    <w:rsid w:val="00066B35"/>
    <w:rsid w:val="00070DE8"/>
    <w:rsid w:val="0007182B"/>
    <w:rsid w:val="000906ED"/>
    <w:rsid w:val="000912A7"/>
    <w:rsid w:val="00092F6E"/>
    <w:rsid w:val="00097AA3"/>
    <w:rsid w:val="000A3FAD"/>
    <w:rsid w:val="000A4B56"/>
    <w:rsid w:val="000B0196"/>
    <w:rsid w:val="000C10D1"/>
    <w:rsid w:val="000D1B0A"/>
    <w:rsid w:val="000D7232"/>
    <w:rsid w:val="000E0655"/>
    <w:rsid w:val="000E75C5"/>
    <w:rsid w:val="000F0E72"/>
    <w:rsid w:val="0010035D"/>
    <w:rsid w:val="0010454B"/>
    <w:rsid w:val="0010500F"/>
    <w:rsid w:val="00105F2C"/>
    <w:rsid w:val="0010663C"/>
    <w:rsid w:val="001101D3"/>
    <w:rsid w:val="00111ED5"/>
    <w:rsid w:val="00116508"/>
    <w:rsid w:val="00127D76"/>
    <w:rsid w:val="00133367"/>
    <w:rsid w:val="00135B4A"/>
    <w:rsid w:val="00136629"/>
    <w:rsid w:val="00144618"/>
    <w:rsid w:val="00145B5A"/>
    <w:rsid w:val="001504E9"/>
    <w:rsid w:val="00154ECC"/>
    <w:rsid w:val="00155029"/>
    <w:rsid w:val="00156296"/>
    <w:rsid w:val="00160C58"/>
    <w:rsid w:val="001665D0"/>
    <w:rsid w:val="00166606"/>
    <w:rsid w:val="0017384C"/>
    <w:rsid w:val="00174CFA"/>
    <w:rsid w:val="001871F6"/>
    <w:rsid w:val="001972A0"/>
    <w:rsid w:val="001A0336"/>
    <w:rsid w:val="001B1FBA"/>
    <w:rsid w:val="001C2F88"/>
    <w:rsid w:val="001C79B0"/>
    <w:rsid w:val="001E6566"/>
    <w:rsid w:val="00200449"/>
    <w:rsid w:val="00201475"/>
    <w:rsid w:val="00211245"/>
    <w:rsid w:val="00223C6A"/>
    <w:rsid w:val="002253E0"/>
    <w:rsid w:val="002329E5"/>
    <w:rsid w:val="002379E3"/>
    <w:rsid w:val="00247F20"/>
    <w:rsid w:val="00251264"/>
    <w:rsid w:val="00251BC8"/>
    <w:rsid w:val="00252012"/>
    <w:rsid w:val="00256EEC"/>
    <w:rsid w:val="00261E27"/>
    <w:rsid w:val="0026673D"/>
    <w:rsid w:val="00276261"/>
    <w:rsid w:val="00283843"/>
    <w:rsid w:val="0028488C"/>
    <w:rsid w:val="002857D7"/>
    <w:rsid w:val="0029517D"/>
    <w:rsid w:val="00295A93"/>
    <w:rsid w:val="002C0C7C"/>
    <w:rsid w:val="002C0FE6"/>
    <w:rsid w:val="002C260E"/>
    <w:rsid w:val="002C5C49"/>
    <w:rsid w:val="002D5DB5"/>
    <w:rsid w:val="002D7FA0"/>
    <w:rsid w:val="002E19FF"/>
    <w:rsid w:val="002E33FD"/>
    <w:rsid w:val="00303FA4"/>
    <w:rsid w:val="00306697"/>
    <w:rsid w:val="003078A5"/>
    <w:rsid w:val="003257CC"/>
    <w:rsid w:val="00343E24"/>
    <w:rsid w:val="0034742F"/>
    <w:rsid w:val="00351295"/>
    <w:rsid w:val="003528E2"/>
    <w:rsid w:val="00361BF8"/>
    <w:rsid w:val="00364829"/>
    <w:rsid w:val="00366E6F"/>
    <w:rsid w:val="00370577"/>
    <w:rsid w:val="00381F84"/>
    <w:rsid w:val="00394156"/>
    <w:rsid w:val="003A51B5"/>
    <w:rsid w:val="003B055C"/>
    <w:rsid w:val="003B1159"/>
    <w:rsid w:val="003B6685"/>
    <w:rsid w:val="003C1D75"/>
    <w:rsid w:val="003C5703"/>
    <w:rsid w:val="003E7D1C"/>
    <w:rsid w:val="0040111C"/>
    <w:rsid w:val="0040182E"/>
    <w:rsid w:val="00404652"/>
    <w:rsid w:val="00405AF5"/>
    <w:rsid w:val="00412C1C"/>
    <w:rsid w:val="004637D6"/>
    <w:rsid w:val="00463F98"/>
    <w:rsid w:val="004718AB"/>
    <w:rsid w:val="00473016"/>
    <w:rsid w:val="004762D8"/>
    <w:rsid w:val="004A65F1"/>
    <w:rsid w:val="004A6862"/>
    <w:rsid w:val="004B558F"/>
    <w:rsid w:val="004B55D7"/>
    <w:rsid w:val="004D00E8"/>
    <w:rsid w:val="004D1339"/>
    <w:rsid w:val="004D1C13"/>
    <w:rsid w:val="004D47F8"/>
    <w:rsid w:val="004E0B42"/>
    <w:rsid w:val="004E764D"/>
    <w:rsid w:val="005014B0"/>
    <w:rsid w:val="005027D5"/>
    <w:rsid w:val="00523386"/>
    <w:rsid w:val="00524709"/>
    <w:rsid w:val="005265D8"/>
    <w:rsid w:val="005320D2"/>
    <w:rsid w:val="0053431A"/>
    <w:rsid w:val="00542E87"/>
    <w:rsid w:val="0054526C"/>
    <w:rsid w:val="00550ACE"/>
    <w:rsid w:val="00561949"/>
    <w:rsid w:val="00575C46"/>
    <w:rsid w:val="00576009"/>
    <w:rsid w:val="00586E9C"/>
    <w:rsid w:val="00590926"/>
    <w:rsid w:val="00593F1A"/>
    <w:rsid w:val="00595CA2"/>
    <w:rsid w:val="005C7CB4"/>
    <w:rsid w:val="005D3D05"/>
    <w:rsid w:val="005D5E1A"/>
    <w:rsid w:val="005E5CDA"/>
    <w:rsid w:val="005E771D"/>
    <w:rsid w:val="005E7F50"/>
    <w:rsid w:val="005F07AC"/>
    <w:rsid w:val="005F13E0"/>
    <w:rsid w:val="005F5D84"/>
    <w:rsid w:val="00603874"/>
    <w:rsid w:val="006077CC"/>
    <w:rsid w:val="006254B3"/>
    <w:rsid w:val="006313A7"/>
    <w:rsid w:val="0064099D"/>
    <w:rsid w:val="00642B00"/>
    <w:rsid w:val="006566F8"/>
    <w:rsid w:val="00664591"/>
    <w:rsid w:val="006700E1"/>
    <w:rsid w:val="00670D15"/>
    <w:rsid w:val="0067585F"/>
    <w:rsid w:val="00676EAC"/>
    <w:rsid w:val="00677A21"/>
    <w:rsid w:val="00684DEA"/>
    <w:rsid w:val="00693DA8"/>
    <w:rsid w:val="00696592"/>
    <w:rsid w:val="00697B0C"/>
    <w:rsid w:val="006A110B"/>
    <w:rsid w:val="006B22C1"/>
    <w:rsid w:val="006B5492"/>
    <w:rsid w:val="006B58BF"/>
    <w:rsid w:val="006C2B40"/>
    <w:rsid w:val="006D4DA3"/>
    <w:rsid w:val="006D6D16"/>
    <w:rsid w:val="006E066C"/>
    <w:rsid w:val="006E0A89"/>
    <w:rsid w:val="006E1392"/>
    <w:rsid w:val="006F2E64"/>
    <w:rsid w:val="006F4BBF"/>
    <w:rsid w:val="00707DAA"/>
    <w:rsid w:val="00714677"/>
    <w:rsid w:val="00727A8C"/>
    <w:rsid w:val="007303D3"/>
    <w:rsid w:val="00732809"/>
    <w:rsid w:val="00743045"/>
    <w:rsid w:val="007608AF"/>
    <w:rsid w:val="00765BCD"/>
    <w:rsid w:val="00765CF3"/>
    <w:rsid w:val="0078062D"/>
    <w:rsid w:val="00795EB2"/>
    <w:rsid w:val="007A096B"/>
    <w:rsid w:val="007A6705"/>
    <w:rsid w:val="007A6C9F"/>
    <w:rsid w:val="007D31B9"/>
    <w:rsid w:val="007D5A53"/>
    <w:rsid w:val="007D6C88"/>
    <w:rsid w:val="007E250A"/>
    <w:rsid w:val="00801F1B"/>
    <w:rsid w:val="008247FA"/>
    <w:rsid w:val="00830B41"/>
    <w:rsid w:val="008321B4"/>
    <w:rsid w:val="008352AD"/>
    <w:rsid w:val="008355FA"/>
    <w:rsid w:val="00835788"/>
    <w:rsid w:val="00841C0C"/>
    <w:rsid w:val="008431A4"/>
    <w:rsid w:val="008440E5"/>
    <w:rsid w:val="00860923"/>
    <w:rsid w:val="008627F5"/>
    <w:rsid w:val="00866D5B"/>
    <w:rsid w:val="008733F5"/>
    <w:rsid w:val="00880509"/>
    <w:rsid w:val="00885F8F"/>
    <w:rsid w:val="00886C6F"/>
    <w:rsid w:val="008A28E5"/>
    <w:rsid w:val="008B04F0"/>
    <w:rsid w:val="008C1BA5"/>
    <w:rsid w:val="008E3D17"/>
    <w:rsid w:val="008E471B"/>
    <w:rsid w:val="008F6EE7"/>
    <w:rsid w:val="00904D66"/>
    <w:rsid w:val="009070F6"/>
    <w:rsid w:val="0091638C"/>
    <w:rsid w:val="00916DA3"/>
    <w:rsid w:val="0092010C"/>
    <w:rsid w:val="009206C7"/>
    <w:rsid w:val="00932991"/>
    <w:rsid w:val="00933404"/>
    <w:rsid w:val="0093716A"/>
    <w:rsid w:val="00937B32"/>
    <w:rsid w:val="00940821"/>
    <w:rsid w:val="009416DA"/>
    <w:rsid w:val="00943DE4"/>
    <w:rsid w:val="00943EF1"/>
    <w:rsid w:val="009477B8"/>
    <w:rsid w:val="0095400B"/>
    <w:rsid w:val="009540CF"/>
    <w:rsid w:val="009561BE"/>
    <w:rsid w:val="00984FDD"/>
    <w:rsid w:val="009871B3"/>
    <w:rsid w:val="00997033"/>
    <w:rsid w:val="009A536D"/>
    <w:rsid w:val="009B0267"/>
    <w:rsid w:val="009B567F"/>
    <w:rsid w:val="009B5B4A"/>
    <w:rsid w:val="009C3201"/>
    <w:rsid w:val="009E0D7A"/>
    <w:rsid w:val="009F1FA5"/>
    <w:rsid w:val="009F2D74"/>
    <w:rsid w:val="009F5981"/>
    <w:rsid w:val="009F687D"/>
    <w:rsid w:val="00A038A5"/>
    <w:rsid w:val="00A0449E"/>
    <w:rsid w:val="00A07FDF"/>
    <w:rsid w:val="00A23E71"/>
    <w:rsid w:val="00A257B7"/>
    <w:rsid w:val="00A35DED"/>
    <w:rsid w:val="00A428E0"/>
    <w:rsid w:val="00A53DB7"/>
    <w:rsid w:val="00A54D16"/>
    <w:rsid w:val="00A54FF0"/>
    <w:rsid w:val="00A55508"/>
    <w:rsid w:val="00A5678A"/>
    <w:rsid w:val="00A65013"/>
    <w:rsid w:val="00A75C47"/>
    <w:rsid w:val="00A80AAA"/>
    <w:rsid w:val="00A82E92"/>
    <w:rsid w:val="00A86A69"/>
    <w:rsid w:val="00A93060"/>
    <w:rsid w:val="00A940F7"/>
    <w:rsid w:val="00AC0CE7"/>
    <w:rsid w:val="00AD0510"/>
    <w:rsid w:val="00AD2FD0"/>
    <w:rsid w:val="00AD65B3"/>
    <w:rsid w:val="00AE64CE"/>
    <w:rsid w:val="00AE77B7"/>
    <w:rsid w:val="00AF1F26"/>
    <w:rsid w:val="00AF20CA"/>
    <w:rsid w:val="00B00A85"/>
    <w:rsid w:val="00B00AB5"/>
    <w:rsid w:val="00B020CD"/>
    <w:rsid w:val="00B06DF7"/>
    <w:rsid w:val="00B11684"/>
    <w:rsid w:val="00B1222C"/>
    <w:rsid w:val="00B36931"/>
    <w:rsid w:val="00B41B20"/>
    <w:rsid w:val="00B4311D"/>
    <w:rsid w:val="00B432E3"/>
    <w:rsid w:val="00B43418"/>
    <w:rsid w:val="00B45D47"/>
    <w:rsid w:val="00B650D2"/>
    <w:rsid w:val="00B6648B"/>
    <w:rsid w:val="00B70CF9"/>
    <w:rsid w:val="00B82367"/>
    <w:rsid w:val="00B83334"/>
    <w:rsid w:val="00B85BC2"/>
    <w:rsid w:val="00B874B2"/>
    <w:rsid w:val="00B87717"/>
    <w:rsid w:val="00BA0D8A"/>
    <w:rsid w:val="00BA13FB"/>
    <w:rsid w:val="00BA30E3"/>
    <w:rsid w:val="00BA76C4"/>
    <w:rsid w:val="00BB5E52"/>
    <w:rsid w:val="00BC0559"/>
    <w:rsid w:val="00BC10AA"/>
    <w:rsid w:val="00BD3845"/>
    <w:rsid w:val="00BD4FC6"/>
    <w:rsid w:val="00BF296A"/>
    <w:rsid w:val="00BF4EF4"/>
    <w:rsid w:val="00C01401"/>
    <w:rsid w:val="00C05C69"/>
    <w:rsid w:val="00C06C54"/>
    <w:rsid w:val="00C10ECD"/>
    <w:rsid w:val="00C22B10"/>
    <w:rsid w:val="00C2538B"/>
    <w:rsid w:val="00C35AE7"/>
    <w:rsid w:val="00C5487D"/>
    <w:rsid w:val="00C71DB6"/>
    <w:rsid w:val="00C746CC"/>
    <w:rsid w:val="00CA3169"/>
    <w:rsid w:val="00CA4B41"/>
    <w:rsid w:val="00CB62D0"/>
    <w:rsid w:val="00CC2C4E"/>
    <w:rsid w:val="00CD3C65"/>
    <w:rsid w:val="00CE3F5A"/>
    <w:rsid w:val="00CF2D34"/>
    <w:rsid w:val="00D13635"/>
    <w:rsid w:val="00D20882"/>
    <w:rsid w:val="00D27982"/>
    <w:rsid w:val="00D31281"/>
    <w:rsid w:val="00D35C75"/>
    <w:rsid w:val="00D429AA"/>
    <w:rsid w:val="00D7246E"/>
    <w:rsid w:val="00D77A78"/>
    <w:rsid w:val="00D800F7"/>
    <w:rsid w:val="00D832DA"/>
    <w:rsid w:val="00D870A4"/>
    <w:rsid w:val="00DA1BE0"/>
    <w:rsid w:val="00DA44CC"/>
    <w:rsid w:val="00DB0112"/>
    <w:rsid w:val="00DB2342"/>
    <w:rsid w:val="00DB3A60"/>
    <w:rsid w:val="00DB682C"/>
    <w:rsid w:val="00DC1BF1"/>
    <w:rsid w:val="00DD7A57"/>
    <w:rsid w:val="00DF39CE"/>
    <w:rsid w:val="00DF620B"/>
    <w:rsid w:val="00E02C64"/>
    <w:rsid w:val="00E032DA"/>
    <w:rsid w:val="00E129D0"/>
    <w:rsid w:val="00E1557E"/>
    <w:rsid w:val="00E374A6"/>
    <w:rsid w:val="00E517A2"/>
    <w:rsid w:val="00E54414"/>
    <w:rsid w:val="00E6189E"/>
    <w:rsid w:val="00E647AB"/>
    <w:rsid w:val="00E835E8"/>
    <w:rsid w:val="00E861B6"/>
    <w:rsid w:val="00E9638E"/>
    <w:rsid w:val="00E96507"/>
    <w:rsid w:val="00EA5307"/>
    <w:rsid w:val="00EB58F0"/>
    <w:rsid w:val="00EB5CAF"/>
    <w:rsid w:val="00EC40EA"/>
    <w:rsid w:val="00ED24F6"/>
    <w:rsid w:val="00EE4BB5"/>
    <w:rsid w:val="00EE7F4F"/>
    <w:rsid w:val="00EF3036"/>
    <w:rsid w:val="00F04F8F"/>
    <w:rsid w:val="00F0537F"/>
    <w:rsid w:val="00F21702"/>
    <w:rsid w:val="00F442B8"/>
    <w:rsid w:val="00F44E46"/>
    <w:rsid w:val="00F60ACC"/>
    <w:rsid w:val="00F747A7"/>
    <w:rsid w:val="00F773E6"/>
    <w:rsid w:val="00F779C9"/>
    <w:rsid w:val="00F8324A"/>
    <w:rsid w:val="00F83979"/>
    <w:rsid w:val="00F87445"/>
    <w:rsid w:val="00F929C4"/>
    <w:rsid w:val="00F93C4E"/>
    <w:rsid w:val="00FA3B77"/>
    <w:rsid w:val="00FB2567"/>
    <w:rsid w:val="00FB5AE5"/>
    <w:rsid w:val="00FD08B1"/>
    <w:rsid w:val="00FD2ED5"/>
    <w:rsid w:val="00FD5497"/>
    <w:rsid w:val="00FF0413"/>
    <w:rsid w:val="00FF3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link w:val="EncabezadoCar"/>
    <w:uiPriority w:val="99"/>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uiPriority w:val="59"/>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link w:val="TextonotapieCar"/>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 w:type="character" w:customStyle="1" w:styleId="EncabezadoCar">
    <w:name w:val="Encabezado Car"/>
    <w:basedOn w:val="Fuentedeprrafopredeter"/>
    <w:link w:val="Encabezado"/>
    <w:uiPriority w:val="99"/>
    <w:rsid w:val="009871B3"/>
    <w:rPr>
      <w:sz w:val="24"/>
      <w:szCs w:val="24"/>
      <w:lang w:val="es-ES" w:eastAsia="zh-CN"/>
    </w:rPr>
  </w:style>
  <w:style w:type="character" w:customStyle="1" w:styleId="TextonotapieCar">
    <w:name w:val="Texto nota pie Car"/>
    <w:basedOn w:val="Fuentedeprrafopredeter"/>
    <w:link w:val="Textonotapie"/>
    <w:semiHidden/>
    <w:rsid w:val="0064099D"/>
    <w:rPr>
      <w:rFonts w:eastAsia="Times New Roman"/>
      <w:lang w:val="es-MX" w:eastAsia="es-MX"/>
    </w:rPr>
  </w:style>
  <w:style w:type="paragraph" w:styleId="Revisin">
    <w:name w:val="Revision"/>
    <w:hidden/>
    <w:uiPriority w:val="99"/>
    <w:semiHidden/>
    <w:rsid w:val="005265D8"/>
    <w:rPr>
      <w:sz w:val="24"/>
      <w:szCs w:val="24"/>
      <w:lang w:val="es-ES" w:eastAsia="zh-CN"/>
    </w:rPr>
  </w:style>
  <w:style w:type="paragraph" w:styleId="Textodeglobo">
    <w:name w:val="Balloon Text"/>
    <w:basedOn w:val="Normal"/>
    <w:link w:val="TextodegloboCar"/>
    <w:rsid w:val="005265D8"/>
    <w:rPr>
      <w:rFonts w:ascii="Tahoma" w:hAnsi="Tahoma" w:cs="Tahoma"/>
      <w:sz w:val="16"/>
      <w:szCs w:val="16"/>
    </w:rPr>
  </w:style>
  <w:style w:type="character" w:customStyle="1" w:styleId="TextodegloboCar">
    <w:name w:val="Texto de globo Car"/>
    <w:basedOn w:val="Fuentedeprrafopredeter"/>
    <w:link w:val="Textodeglobo"/>
    <w:rsid w:val="005265D8"/>
    <w:rPr>
      <w:rFonts w:ascii="Tahoma" w:hAnsi="Tahoma" w:cs="Tahoma"/>
      <w:sz w:val="16"/>
      <w:szCs w:val="16"/>
      <w:lang w:val="es-ES" w:eastAsia="zh-CN"/>
    </w:rPr>
  </w:style>
  <w:style w:type="character" w:styleId="Refdecomentario">
    <w:name w:val="annotation reference"/>
    <w:basedOn w:val="Fuentedeprrafopredeter"/>
    <w:rsid w:val="004718AB"/>
    <w:rPr>
      <w:sz w:val="16"/>
      <w:szCs w:val="16"/>
    </w:rPr>
  </w:style>
  <w:style w:type="paragraph" w:styleId="Textocomentario">
    <w:name w:val="annotation text"/>
    <w:basedOn w:val="Normal"/>
    <w:link w:val="TextocomentarioCar"/>
    <w:rsid w:val="004718AB"/>
    <w:rPr>
      <w:sz w:val="20"/>
      <w:szCs w:val="20"/>
    </w:rPr>
  </w:style>
  <w:style w:type="character" w:customStyle="1" w:styleId="TextocomentarioCar">
    <w:name w:val="Texto comentario Car"/>
    <w:basedOn w:val="Fuentedeprrafopredeter"/>
    <w:link w:val="Textocomentario"/>
    <w:rsid w:val="004718AB"/>
    <w:rPr>
      <w:lang w:val="es-ES" w:eastAsia="zh-CN"/>
    </w:rPr>
  </w:style>
  <w:style w:type="paragraph" w:styleId="Asuntodelcomentario">
    <w:name w:val="annotation subject"/>
    <w:basedOn w:val="Textocomentario"/>
    <w:next w:val="Textocomentario"/>
    <w:link w:val="AsuntodelcomentarioCar"/>
    <w:rsid w:val="004718AB"/>
    <w:rPr>
      <w:b/>
      <w:bCs/>
    </w:rPr>
  </w:style>
  <w:style w:type="character" w:customStyle="1" w:styleId="AsuntodelcomentarioCar">
    <w:name w:val="Asunto del comentario Car"/>
    <w:basedOn w:val="TextocomentarioCar"/>
    <w:link w:val="Asuntodelcomentario"/>
    <w:rsid w:val="004718AB"/>
    <w:rPr>
      <w:b/>
      <w:bCs/>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link w:val="EncabezadoCar"/>
    <w:uiPriority w:val="99"/>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uiPriority w:val="59"/>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link w:val="TextonotapieCar"/>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 w:type="character" w:customStyle="1" w:styleId="EncabezadoCar">
    <w:name w:val="Encabezado Car"/>
    <w:basedOn w:val="Fuentedeprrafopredeter"/>
    <w:link w:val="Encabezado"/>
    <w:uiPriority w:val="99"/>
    <w:rsid w:val="009871B3"/>
    <w:rPr>
      <w:sz w:val="24"/>
      <w:szCs w:val="24"/>
      <w:lang w:val="es-ES" w:eastAsia="zh-CN"/>
    </w:rPr>
  </w:style>
  <w:style w:type="character" w:customStyle="1" w:styleId="TextonotapieCar">
    <w:name w:val="Texto nota pie Car"/>
    <w:basedOn w:val="Fuentedeprrafopredeter"/>
    <w:link w:val="Textonotapie"/>
    <w:semiHidden/>
    <w:rsid w:val="0064099D"/>
    <w:rPr>
      <w:rFonts w:eastAsia="Times New Roman"/>
      <w:lang w:val="es-MX" w:eastAsia="es-MX"/>
    </w:rPr>
  </w:style>
  <w:style w:type="paragraph" w:styleId="Revisin">
    <w:name w:val="Revision"/>
    <w:hidden/>
    <w:uiPriority w:val="99"/>
    <w:semiHidden/>
    <w:rsid w:val="005265D8"/>
    <w:rPr>
      <w:sz w:val="24"/>
      <w:szCs w:val="24"/>
      <w:lang w:val="es-ES" w:eastAsia="zh-CN"/>
    </w:rPr>
  </w:style>
  <w:style w:type="paragraph" w:styleId="Textodeglobo">
    <w:name w:val="Balloon Text"/>
    <w:basedOn w:val="Normal"/>
    <w:link w:val="TextodegloboCar"/>
    <w:rsid w:val="005265D8"/>
    <w:rPr>
      <w:rFonts w:ascii="Tahoma" w:hAnsi="Tahoma" w:cs="Tahoma"/>
      <w:sz w:val="16"/>
      <w:szCs w:val="16"/>
    </w:rPr>
  </w:style>
  <w:style w:type="character" w:customStyle="1" w:styleId="TextodegloboCar">
    <w:name w:val="Texto de globo Car"/>
    <w:basedOn w:val="Fuentedeprrafopredeter"/>
    <w:link w:val="Textodeglobo"/>
    <w:rsid w:val="005265D8"/>
    <w:rPr>
      <w:rFonts w:ascii="Tahoma" w:hAnsi="Tahoma" w:cs="Tahoma"/>
      <w:sz w:val="16"/>
      <w:szCs w:val="16"/>
      <w:lang w:val="es-ES" w:eastAsia="zh-CN"/>
    </w:rPr>
  </w:style>
  <w:style w:type="character" w:styleId="Refdecomentario">
    <w:name w:val="annotation reference"/>
    <w:basedOn w:val="Fuentedeprrafopredeter"/>
    <w:rsid w:val="004718AB"/>
    <w:rPr>
      <w:sz w:val="16"/>
      <w:szCs w:val="16"/>
    </w:rPr>
  </w:style>
  <w:style w:type="paragraph" w:styleId="Textocomentario">
    <w:name w:val="annotation text"/>
    <w:basedOn w:val="Normal"/>
    <w:link w:val="TextocomentarioCar"/>
    <w:rsid w:val="004718AB"/>
    <w:rPr>
      <w:sz w:val="20"/>
      <w:szCs w:val="20"/>
    </w:rPr>
  </w:style>
  <w:style w:type="character" w:customStyle="1" w:styleId="TextocomentarioCar">
    <w:name w:val="Texto comentario Car"/>
    <w:basedOn w:val="Fuentedeprrafopredeter"/>
    <w:link w:val="Textocomentario"/>
    <w:rsid w:val="004718AB"/>
    <w:rPr>
      <w:lang w:val="es-ES" w:eastAsia="zh-CN"/>
    </w:rPr>
  </w:style>
  <w:style w:type="paragraph" w:styleId="Asuntodelcomentario">
    <w:name w:val="annotation subject"/>
    <w:basedOn w:val="Textocomentario"/>
    <w:next w:val="Textocomentario"/>
    <w:link w:val="AsuntodelcomentarioCar"/>
    <w:rsid w:val="004718AB"/>
    <w:rPr>
      <w:b/>
      <w:bCs/>
    </w:rPr>
  </w:style>
  <w:style w:type="character" w:customStyle="1" w:styleId="AsuntodelcomentarioCar">
    <w:name w:val="Asunto del comentario Car"/>
    <w:basedOn w:val="TextocomentarioCar"/>
    <w:link w:val="Asuntodelcomentario"/>
    <w:rsid w:val="004718AB"/>
    <w:rPr>
      <w:b/>
      <w:bCs/>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238">
      <w:bodyDiv w:val="1"/>
      <w:marLeft w:val="0"/>
      <w:marRight w:val="0"/>
      <w:marTop w:val="0"/>
      <w:marBottom w:val="0"/>
      <w:divBdr>
        <w:top w:val="none" w:sz="0" w:space="0" w:color="auto"/>
        <w:left w:val="none" w:sz="0" w:space="0" w:color="auto"/>
        <w:bottom w:val="none" w:sz="0" w:space="0" w:color="auto"/>
        <w:right w:val="none" w:sz="0" w:space="0" w:color="auto"/>
      </w:divBdr>
    </w:div>
    <w:div w:id="1015576601">
      <w:bodyDiv w:val="1"/>
      <w:marLeft w:val="0"/>
      <w:marRight w:val="0"/>
      <w:marTop w:val="0"/>
      <w:marBottom w:val="0"/>
      <w:divBdr>
        <w:top w:val="none" w:sz="0" w:space="0" w:color="auto"/>
        <w:left w:val="none" w:sz="0" w:space="0" w:color="auto"/>
        <w:bottom w:val="none" w:sz="0" w:space="0" w:color="auto"/>
        <w:right w:val="none" w:sz="0" w:space="0" w:color="auto"/>
      </w:divBdr>
    </w:div>
    <w:div w:id="1103963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2C788-A79E-44E9-95F5-9771FBC97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1287</Words>
  <Characters>7081</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Reparto Oportuno de Publicaciones, SA de CV</Company>
  <LinksUpToDate>false</LinksUpToDate>
  <CharactersWithSpaces>8352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Sistemas</dc:creator>
  <cp:lastModifiedBy>DGARC</cp:lastModifiedBy>
  <cp:revision>2</cp:revision>
  <cp:lastPrinted>2010-06-24T17:53:00Z</cp:lastPrinted>
  <dcterms:created xsi:type="dcterms:W3CDTF">2014-10-30T19:01:00Z</dcterms:created>
  <dcterms:modified xsi:type="dcterms:W3CDTF">2014-10-30T19:01:00Z</dcterms:modified>
</cp:coreProperties>
</file>