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99" w:type="dxa"/>
        <w:tblInd w:w="144" w:type="dxa"/>
        <w:tblLayout w:type="fixed"/>
        <w:tblCellMar>
          <w:left w:w="71" w:type="dxa"/>
          <w:right w:w="71" w:type="dxa"/>
        </w:tblCellMar>
        <w:tblLook w:val="0000" w:firstRow="0" w:lastRow="0" w:firstColumn="0" w:lastColumn="0" w:noHBand="0" w:noVBand="0"/>
      </w:tblPr>
      <w:tblGrid>
        <w:gridCol w:w="8234"/>
        <w:gridCol w:w="765"/>
      </w:tblGrid>
      <w:tr w:rsidR="0021281B" w:rsidRPr="00B372C2" w:rsidTr="004F3B47">
        <w:tc>
          <w:tcPr>
            <w:tcW w:w="8234" w:type="dxa"/>
            <w:noWrap/>
          </w:tcPr>
          <w:p w:rsidR="0021281B" w:rsidRPr="00B372C2" w:rsidRDefault="0021281B" w:rsidP="000E0527">
            <w:pPr>
              <w:pStyle w:val="Texto"/>
              <w:spacing w:after="0" w:line="240" w:lineRule="auto"/>
              <w:ind w:firstLine="0"/>
              <w:contextualSpacing/>
              <w:jc w:val="center"/>
              <w:rPr>
                <w:rFonts w:ascii="Times New Roman" w:hAnsi="Times New Roman" w:cs="Times New Roman"/>
                <w:b/>
                <w:sz w:val="26"/>
                <w:szCs w:val="26"/>
                <w:u w:val="single"/>
              </w:rPr>
            </w:pPr>
            <w:bookmarkStart w:id="0" w:name="_GoBack"/>
            <w:bookmarkEnd w:id="0"/>
            <w:r w:rsidRPr="000E0527">
              <w:rPr>
                <w:rFonts w:ascii="Times New Roman" w:hAnsi="Times New Roman" w:cs="Times New Roman"/>
                <w:sz w:val="26"/>
                <w:szCs w:val="26"/>
              </w:rPr>
              <w:br w:type="page"/>
            </w:r>
            <w:r w:rsidR="00063989" w:rsidRPr="004F3B47">
              <w:rPr>
                <w:rFonts w:ascii="Times New Roman" w:hAnsi="Times New Roman" w:cs="Times New Roman"/>
                <w:b/>
                <w:sz w:val="26"/>
                <w:szCs w:val="26"/>
              </w:rPr>
              <w:t xml:space="preserve">A-4 </w:t>
            </w:r>
            <w:r w:rsidR="00063989" w:rsidRPr="004F3B47">
              <w:rPr>
                <w:rFonts w:ascii="Times New Roman" w:hAnsi="Times New Roman" w:cs="Times New Roman"/>
                <w:b/>
                <w:sz w:val="26"/>
                <w:szCs w:val="26"/>
                <w:u w:val="single"/>
              </w:rPr>
              <w:t>APLICACIÓN SUPLETORIA A LOS CRITERIOS DE CONTABILIDAD</w:t>
            </w:r>
          </w:p>
          <w:p w:rsidR="0021281B" w:rsidRPr="00B372C2" w:rsidRDefault="0021281B" w:rsidP="000E0527">
            <w:pPr>
              <w:pStyle w:val="Texto"/>
              <w:spacing w:after="0" w:line="240" w:lineRule="auto"/>
              <w:ind w:firstLine="0"/>
              <w:contextualSpacing/>
              <w:jc w:val="center"/>
              <w:rPr>
                <w:rFonts w:ascii="Times New Roman" w:hAnsi="Times New Roman" w:cs="Times New Roman"/>
                <w:b/>
                <w:sz w:val="26"/>
                <w:szCs w:val="26"/>
              </w:rPr>
            </w:pPr>
          </w:p>
          <w:p w:rsidR="0021281B" w:rsidRPr="00B372C2" w:rsidRDefault="007E3728" w:rsidP="000E0527">
            <w:pPr>
              <w:pStyle w:val="Texto"/>
              <w:spacing w:after="0" w:line="240" w:lineRule="auto"/>
              <w:ind w:firstLine="0"/>
              <w:contextualSpacing/>
              <w:rPr>
                <w:rFonts w:ascii="Times New Roman" w:hAnsi="Times New Roman" w:cs="Times New Roman"/>
                <w:b/>
                <w:sz w:val="26"/>
                <w:szCs w:val="26"/>
              </w:rPr>
            </w:pPr>
            <w:r w:rsidRPr="00B372C2">
              <w:rPr>
                <w:rFonts w:ascii="Times New Roman" w:hAnsi="Times New Roman" w:cs="Times New Roman"/>
                <w:b/>
                <w:sz w:val="26"/>
                <w:szCs w:val="26"/>
              </w:rPr>
              <w:t>Objetivo y alcance</w:t>
            </w:r>
          </w:p>
          <w:p w:rsidR="0021281B" w:rsidRPr="00B372C2" w:rsidRDefault="0021281B" w:rsidP="000E0527">
            <w:pPr>
              <w:pStyle w:val="Texto"/>
              <w:spacing w:after="0" w:line="240" w:lineRule="auto"/>
              <w:ind w:firstLine="0"/>
              <w:contextualSpacing/>
              <w:rPr>
                <w:rFonts w:ascii="Times New Roman" w:hAnsi="Times New Roman" w:cs="Times New Roman"/>
                <w:b/>
                <w:sz w:val="26"/>
                <w:szCs w:val="26"/>
              </w:rPr>
            </w:pPr>
          </w:p>
        </w:tc>
        <w:tc>
          <w:tcPr>
            <w:tcW w:w="765" w:type="dxa"/>
          </w:tcPr>
          <w:p w:rsidR="0021281B" w:rsidRPr="00B372C2" w:rsidRDefault="0021281B" w:rsidP="000E0527">
            <w:pPr>
              <w:pStyle w:val="Texto"/>
              <w:spacing w:after="0" w:line="240" w:lineRule="auto"/>
              <w:ind w:left="360" w:firstLine="0"/>
              <w:contextualSpacing/>
              <w:jc w:val="center"/>
              <w:rPr>
                <w:rFonts w:ascii="Times New Roman" w:hAnsi="Times New Roman" w:cs="Times New Roman"/>
                <w:sz w:val="20"/>
                <w:szCs w:val="26"/>
              </w:rPr>
            </w:pPr>
          </w:p>
        </w:tc>
      </w:tr>
      <w:tr w:rsidR="0021281B" w:rsidRPr="00B372C2" w:rsidTr="004F3B47">
        <w:tc>
          <w:tcPr>
            <w:tcW w:w="8234" w:type="dxa"/>
          </w:tcPr>
          <w:p w:rsidR="0021281B" w:rsidRPr="00B372C2" w:rsidRDefault="007E3728" w:rsidP="000E0527">
            <w:pPr>
              <w:pStyle w:val="Texto"/>
              <w:spacing w:after="0" w:line="240" w:lineRule="auto"/>
              <w:ind w:firstLine="0"/>
              <w:contextualSpacing/>
              <w:rPr>
                <w:rFonts w:ascii="Times New Roman" w:hAnsi="Times New Roman" w:cs="Times New Roman"/>
                <w:sz w:val="26"/>
                <w:szCs w:val="26"/>
              </w:rPr>
            </w:pPr>
            <w:r w:rsidRPr="00B372C2">
              <w:rPr>
                <w:rFonts w:ascii="Times New Roman" w:hAnsi="Times New Roman" w:cs="Times New Roman"/>
                <w:sz w:val="26"/>
                <w:szCs w:val="26"/>
              </w:rPr>
              <w:t>El presente criterio tiene por objetivo precisar la aplicación de las normas contenidas en la NIF A-8 “Supletoriedad” emitida por el CINIF, considerando que, al aplicarla, la información financiera se está preparando y presentando de acuerdo con criterios de contabilidad para sociedades financieras populares</w:t>
            </w:r>
            <w:r w:rsidR="00511F8B">
              <w:rPr>
                <w:rFonts w:ascii="Times New Roman" w:hAnsi="Times New Roman" w:cs="Times New Roman"/>
                <w:sz w:val="26"/>
                <w:szCs w:val="26"/>
              </w:rPr>
              <w:t>, sociedades financieras</w:t>
            </w:r>
            <w:r w:rsidRPr="00B372C2">
              <w:rPr>
                <w:rFonts w:ascii="Times New Roman" w:hAnsi="Times New Roman" w:cs="Times New Roman"/>
                <w:sz w:val="26"/>
                <w:szCs w:val="26"/>
              </w:rPr>
              <w:t xml:space="preserve"> comunitarias</w:t>
            </w:r>
            <w:r w:rsidR="00511F8B">
              <w:rPr>
                <w:rFonts w:ascii="Times New Roman" w:hAnsi="Times New Roman" w:cs="Times New Roman"/>
                <w:sz w:val="26"/>
                <w:szCs w:val="26"/>
              </w:rPr>
              <w:t xml:space="preserve"> y</w:t>
            </w:r>
            <w:r w:rsidRPr="00B372C2">
              <w:rPr>
                <w:rFonts w:ascii="Times New Roman" w:hAnsi="Times New Roman" w:cs="Times New Roman"/>
                <w:sz w:val="26"/>
                <w:szCs w:val="26"/>
              </w:rPr>
              <w:t xml:space="preserve"> organismos de integración financiera rural.</w:t>
            </w:r>
          </w:p>
          <w:p w:rsidR="0021281B" w:rsidRPr="00B372C2" w:rsidRDefault="0021281B" w:rsidP="000E0527">
            <w:pPr>
              <w:pStyle w:val="Texto"/>
              <w:spacing w:after="0" w:line="240" w:lineRule="auto"/>
              <w:ind w:firstLine="0"/>
              <w:contextualSpacing/>
              <w:rPr>
                <w:rFonts w:ascii="Times New Roman" w:hAnsi="Times New Roman" w:cs="Times New Roman"/>
                <w:sz w:val="26"/>
                <w:szCs w:val="26"/>
              </w:rPr>
            </w:pPr>
          </w:p>
          <w:p w:rsidR="0021281B" w:rsidRPr="00B372C2" w:rsidRDefault="007E3728" w:rsidP="000E0527">
            <w:pPr>
              <w:pStyle w:val="Texto"/>
              <w:spacing w:after="0" w:line="240" w:lineRule="auto"/>
              <w:ind w:firstLine="0"/>
              <w:contextualSpacing/>
              <w:rPr>
                <w:rFonts w:ascii="Times New Roman" w:hAnsi="Times New Roman" w:cs="Times New Roman"/>
                <w:b/>
                <w:sz w:val="26"/>
                <w:szCs w:val="26"/>
              </w:rPr>
            </w:pPr>
            <w:r w:rsidRPr="00B372C2">
              <w:rPr>
                <w:rFonts w:ascii="Times New Roman" w:hAnsi="Times New Roman" w:cs="Times New Roman"/>
                <w:b/>
                <w:sz w:val="26"/>
                <w:szCs w:val="26"/>
              </w:rPr>
              <w:t>Definición</w:t>
            </w:r>
          </w:p>
          <w:p w:rsidR="0021281B" w:rsidRPr="00B372C2" w:rsidRDefault="0021281B" w:rsidP="000E0527">
            <w:pPr>
              <w:pStyle w:val="Texto"/>
              <w:spacing w:after="0" w:line="240" w:lineRule="auto"/>
              <w:ind w:firstLine="0"/>
              <w:contextualSpacing/>
              <w:rPr>
                <w:rFonts w:ascii="Times New Roman" w:hAnsi="Times New Roman" w:cs="Times New Roman"/>
                <w:sz w:val="26"/>
                <w:szCs w:val="26"/>
              </w:rPr>
            </w:pPr>
          </w:p>
        </w:tc>
        <w:tc>
          <w:tcPr>
            <w:tcW w:w="765" w:type="dxa"/>
          </w:tcPr>
          <w:p w:rsidR="0021281B" w:rsidRPr="00B372C2" w:rsidRDefault="0021281B" w:rsidP="000E0527">
            <w:pPr>
              <w:pStyle w:val="Texto"/>
              <w:numPr>
                <w:ilvl w:val="0"/>
                <w:numId w:val="1"/>
              </w:numPr>
              <w:spacing w:after="0" w:line="240" w:lineRule="auto"/>
              <w:contextualSpacing/>
              <w:jc w:val="center"/>
              <w:rPr>
                <w:rFonts w:ascii="Times New Roman" w:hAnsi="Times New Roman" w:cs="Times New Roman"/>
                <w:sz w:val="20"/>
                <w:szCs w:val="26"/>
              </w:rPr>
            </w:pPr>
          </w:p>
        </w:tc>
      </w:tr>
      <w:tr w:rsidR="0021281B" w:rsidRPr="00B372C2" w:rsidTr="004F3B47">
        <w:tc>
          <w:tcPr>
            <w:tcW w:w="8234" w:type="dxa"/>
          </w:tcPr>
          <w:p w:rsidR="0021281B" w:rsidRPr="00B372C2" w:rsidRDefault="007E3728" w:rsidP="000E0527">
            <w:pPr>
              <w:pStyle w:val="Texto"/>
              <w:spacing w:after="0" w:line="240" w:lineRule="auto"/>
              <w:ind w:firstLine="0"/>
              <w:contextualSpacing/>
              <w:rPr>
                <w:rFonts w:ascii="Times New Roman" w:hAnsi="Times New Roman" w:cs="Times New Roman"/>
                <w:sz w:val="26"/>
                <w:szCs w:val="26"/>
              </w:rPr>
            </w:pPr>
            <w:r w:rsidRPr="00B372C2">
              <w:rPr>
                <w:rFonts w:ascii="Times New Roman" w:hAnsi="Times New Roman" w:cs="Times New Roman"/>
                <w:sz w:val="26"/>
                <w:szCs w:val="26"/>
              </w:rPr>
              <w:t>Para efectos de los criterios de contabilidad para sociedades financieras populares</w:t>
            </w:r>
            <w:r w:rsidR="00511F8B">
              <w:rPr>
                <w:rFonts w:ascii="Times New Roman" w:hAnsi="Times New Roman" w:cs="Times New Roman"/>
                <w:sz w:val="26"/>
                <w:szCs w:val="26"/>
              </w:rPr>
              <w:t>, sociedades financieras</w:t>
            </w:r>
            <w:r w:rsidRPr="00B372C2">
              <w:rPr>
                <w:rFonts w:ascii="Times New Roman" w:hAnsi="Times New Roman" w:cs="Times New Roman"/>
                <w:sz w:val="26"/>
                <w:szCs w:val="26"/>
              </w:rPr>
              <w:t xml:space="preserve"> comunitarias</w:t>
            </w:r>
            <w:r w:rsidR="00511F8B">
              <w:rPr>
                <w:rFonts w:ascii="Times New Roman" w:hAnsi="Times New Roman" w:cs="Times New Roman"/>
                <w:sz w:val="26"/>
                <w:szCs w:val="26"/>
              </w:rPr>
              <w:t xml:space="preserve"> y</w:t>
            </w:r>
            <w:r w:rsidRPr="00B372C2">
              <w:rPr>
                <w:rFonts w:ascii="Times New Roman" w:hAnsi="Times New Roman" w:cs="Times New Roman"/>
                <w:sz w:val="26"/>
                <w:szCs w:val="26"/>
              </w:rPr>
              <w:t xml:space="preserve"> organismos de integración financiera rural, el proceso de supletoriedad aplica cuando en la ausencia de normas contables expresas emitidas por la CNBV en lo particular, y del CINIF en lo general, </w:t>
            </w:r>
            <w:r w:rsidR="00C0755A">
              <w:rPr>
                <w:rFonts w:ascii="Times New Roman" w:hAnsi="Times New Roman" w:cs="Times New Roman"/>
                <w:sz w:val="26"/>
                <w:szCs w:val="26"/>
              </w:rPr>
              <w:t>e</w:t>
            </w:r>
            <w:r w:rsidRPr="00B372C2">
              <w:rPr>
                <w:rFonts w:ascii="Times New Roman" w:hAnsi="Times New Roman" w:cs="Times New Roman"/>
                <w:sz w:val="26"/>
                <w:szCs w:val="26"/>
              </w:rPr>
              <w:t>stas son cubiertas por un conjunto formal y reconocido de normas.</w:t>
            </w:r>
          </w:p>
          <w:p w:rsidR="0021281B" w:rsidRPr="00B372C2" w:rsidRDefault="0021281B" w:rsidP="000E0527">
            <w:pPr>
              <w:pStyle w:val="Texto"/>
              <w:spacing w:after="0" w:line="240" w:lineRule="auto"/>
              <w:ind w:firstLine="0"/>
              <w:contextualSpacing/>
              <w:rPr>
                <w:rFonts w:ascii="Times New Roman" w:hAnsi="Times New Roman" w:cs="Times New Roman"/>
                <w:sz w:val="26"/>
                <w:szCs w:val="26"/>
              </w:rPr>
            </w:pPr>
          </w:p>
          <w:p w:rsidR="0021281B" w:rsidRPr="00B372C2" w:rsidRDefault="007E3728" w:rsidP="000E0527">
            <w:pPr>
              <w:pStyle w:val="Texto"/>
              <w:spacing w:after="0" w:line="240" w:lineRule="auto"/>
              <w:ind w:firstLine="0"/>
              <w:contextualSpacing/>
              <w:rPr>
                <w:rFonts w:ascii="Times New Roman" w:hAnsi="Times New Roman" w:cs="Times New Roman"/>
                <w:b/>
                <w:sz w:val="26"/>
                <w:szCs w:val="26"/>
              </w:rPr>
            </w:pPr>
            <w:r w:rsidRPr="00B372C2">
              <w:rPr>
                <w:rFonts w:ascii="Times New Roman" w:hAnsi="Times New Roman" w:cs="Times New Roman"/>
                <w:b/>
                <w:sz w:val="26"/>
                <w:szCs w:val="26"/>
              </w:rPr>
              <w:t>Concepto de supletoriedad y norma básica</w:t>
            </w:r>
          </w:p>
          <w:p w:rsidR="0021281B" w:rsidRPr="00B372C2" w:rsidRDefault="0021281B" w:rsidP="000E0527">
            <w:pPr>
              <w:pStyle w:val="Texto"/>
              <w:spacing w:after="0" w:line="240" w:lineRule="auto"/>
              <w:ind w:firstLine="0"/>
              <w:contextualSpacing/>
              <w:rPr>
                <w:rFonts w:ascii="Times New Roman" w:hAnsi="Times New Roman" w:cs="Times New Roman"/>
                <w:b/>
                <w:sz w:val="26"/>
                <w:szCs w:val="26"/>
              </w:rPr>
            </w:pPr>
          </w:p>
        </w:tc>
        <w:tc>
          <w:tcPr>
            <w:tcW w:w="765" w:type="dxa"/>
          </w:tcPr>
          <w:p w:rsidR="0021281B" w:rsidRPr="00B372C2" w:rsidRDefault="0021281B" w:rsidP="000E0527">
            <w:pPr>
              <w:pStyle w:val="Texto"/>
              <w:numPr>
                <w:ilvl w:val="0"/>
                <w:numId w:val="1"/>
              </w:numPr>
              <w:spacing w:after="0" w:line="240" w:lineRule="auto"/>
              <w:contextualSpacing/>
              <w:jc w:val="center"/>
              <w:rPr>
                <w:rFonts w:ascii="Times New Roman" w:hAnsi="Times New Roman" w:cs="Times New Roman"/>
                <w:sz w:val="20"/>
                <w:szCs w:val="26"/>
              </w:rPr>
            </w:pPr>
          </w:p>
        </w:tc>
      </w:tr>
      <w:tr w:rsidR="0021281B" w:rsidRPr="00B372C2" w:rsidTr="004F3B47">
        <w:tc>
          <w:tcPr>
            <w:tcW w:w="8234" w:type="dxa"/>
          </w:tcPr>
          <w:p w:rsidR="0021281B" w:rsidRPr="00B372C2" w:rsidRDefault="007E3728" w:rsidP="000E0527">
            <w:pPr>
              <w:pStyle w:val="Texto"/>
              <w:spacing w:after="0" w:line="240" w:lineRule="auto"/>
              <w:ind w:firstLine="0"/>
              <w:contextualSpacing/>
              <w:rPr>
                <w:rFonts w:ascii="Times New Roman" w:hAnsi="Times New Roman" w:cs="Times New Roman"/>
                <w:sz w:val="26"/>
                <w:szCs w:val="26"/>
              </w:rPr>
            </w:pPr>
            <w:r w:rsidRPr="00B372C2">
              <w:rPr>
                <w:rFonts w:ascii="Times New Roman" w:hAnsi="Times New Roman" w:cs="Times New Roman"/>
                <w:sz w:val="26"/>
                <w:szCs w:val="26"/>
              </w:rPr>
              <w:t>A falta de un criterio de contabilidad específico de la CNBV para las entidades, y en segundo término para instituciones de crédito, o en un contexto más amplio, de las NIF, se aplicarán las bases para supletoriedad previstas en la NIF A-8 antes mencionada, en conjunto con lo previsto en las disposiciones del presente criterio.</w:t>
            </w:r>
          </w:p>
          <w:p w:rsidR="0021281B" w:rsidRPr="00B372C2" w:rsidRDefault="0021281B" w:rsidP="000E0527">
            <w:pPr>
              <w:pStyle w:val="Texto"/>
              <w:spacing w:after="0" w:line="240" w:lineRule="auto"/>
              <w:ind w:firstLine="0"/>
              <w:contextualSpacing/>
              <w:rPr>
                <w:rFonts w:ascii="Times New Roman" w:hAnsi="Times New Roman" w:cs="Times New Roman"/>
                <w:sz w:val="26"/>
                <w:szCs w:val="26"/>
              </w:rPr>
            </w:pPr>
          </w:p>
          <w:p w:rsidR="0021281B" w:rsidRPr="00B372C2" w:rsidRDefault="007E3728" w:rsidP="000E0527">
            <w:pPr>
              <w:pStyle w:val="Texto"/>
              <w:spacing w:after="0" w:line="240" w:lineRule="auto"/>
              <w:ind w:firstLine="0"/>
              <w:contextualSpacing/>
              <w:rPr>
                <w:rFonts w:ascii="Times New Roman" w:hAnsi="Times New Roman" w:cs="Times New Roman"/>
                <w:b/>
                <w:sz w:val="26"/>
                <w:szCs w:val="26"/>
              </w:rPr>
            </w:pPr>
            <w:r w:rsidRPr="00B372C2">
              <w:rPr>
                <w:rFonts w:ascii="Times New Roman" w:hAnsi="Times New Roman" w:cs="Times New Roman"/>
                <w:b/>
                <w:sz w:val="26"/>
                <w:szCs w:val="26"/>
              </w:rPr>
              <w:t>Otra normatividad supletoria</w:t>
            </w:r>
          </w:p>
          <w:p w:rsidR="0021281B" w:rsidRPr="00B372C2" w:rsidRDefault="0021281B" w:rsidP="000E0527">
            <w:pPr>
              <w:pStyle w:val="Texto"/>
              <w:spacing w:after="0" w:line="240" w:lineRule="auto"/>
              <w:ind w:firstLine="0"/>
              <w:contextualSpacing/>
              <w:rPr>
                <w:rFonts w:ascii="Times New Roman" w:hAnsi="Times New Roman" w:cs="Times New Roman"/>
                <w:b/>
                <w:sz w:val="26"/>
                <w:szCs w:val="26"/>
              </w:rPr>
            </w:pPr>
          </w:p>
        </w:tc>
        <w:tc>
          <w:tcPr>
            <w:tcW w:w="765" w:type="dxa"/>
          </w:tcPr>
          <w:p w:rsidR="0021281B" w:rsidRPr="00B372C2" w:rsidRDefault="0021281B" w:rsidP="000E0527">
            <w:pPr>
              <w:pStyle w:val="Texto"/>
              <w:numPr>
                <w:ilvl w:val="0"/>
                <w:numId w:val="1"/>
              </w:numPr>
              <w:spacing w:after="0" w:line="240" w:lineRule="auto"/>
              <w:contextualSpacing/>
              <w:jc w:val="center"/>
              <w:rPr>
                <w:rFonts w:ascii="Times New Roman" w:hAnsi="Times New Roman" w:cs="Times New Roman"/>
                <w:sz w:val="20"/>
                <w:szCs w:val="26"/>
              </w:rPr>
            </w:pPr>
          </w:p>
        </w:tc>
      </w:tr>
      <w:tr w:rsidR="0021281B" w:rsidRPr="00B372C2" w:rsidTr="004F3B47">
        <w:tc>
          <w:tcPr>
            <w:tcW w:w="8234" w:type="dxa"/>
          </w:tcPr>
          <w:p w:rsidR="000E0527" w:rsidRPr="00B372C2" w:rsidRDefault="007E3728" w:rsidP="000E0527">
            <w:pPr>
              <w:pStyle w:val="Texto"/>
              <w:spacing w:after="0" w:line="240" w:lineRule="auto"/>
              <w:ind w:firstLine="0"/>
              <w:contextualSpacing/>
              <w:rPr>
                <w:rFonts w:ascii="Times New Roman" w:hAnsi="Times New Roman" w:cs="Times New Roman"/>
                <w:sz w:val="26"/>
                <w:szCs w:val="26"/>
              </w:rPr>
            </w:pPr>
            <w:r w:rsidRPr="00B372C2">
              <w:rPr>
                <w:rFonts w:ascii="Times New Roman" w:hAnsi="Times New Roman" w:cs="Times New Roman"/>
                <w:sz w:val="26"/>
                <w:szCs w:val="26"/>
              </w:rPr>
              <w:t>S</w:t>
            </w:r>
            <w:r w:rsidR="00C0755A">
              <w:rPr>
                <w:rFonts w:ascii="Times New Roman" w:hAnsi="Times New Roman" w:cs="Times New Roman"/>
                <w:sz w:val="26"/>
                <w:szCs w:val="26"/>
              </w:rPr>
              <w:t>o</w:t>
            </w:r>
            <w:r w:rsidRPr="00B372C2">
              <w:rPr>
                <w:rFonts w:ascii="Times New Roman" w:hAnsi="Times New Roman" w:cs="Times New Roman"/>
                <w:sz w:val="26"/>
                <w:szCs w:val="26"/>
              </w:rPr>
              <w:t>lo en caso de que las Normas Internacionales de Información Financiera (NIIF) a que se refiere la NIF A-8, no den solución al reconocimiento contable, se podrá optar por una norma supletoria que pertenezca a cualquier otro esquema normativo, siempre que cumpla con todos los requisitos señalados en la citada NIF A-8 para una norma supletoria, así como con los previstos en el párrafo 6 del presente criterio, debiéndose aplicar la supletoriedad en el orden siguiente:</w:t>
            </w:r>
          </w:p>
          <w:p w:rsidR="0021281B" w:rsidRPr="00B372C2" w:rsidRDefault="0021281B" w:rsidP="000E0527">
            <w:pPr>
              <w:pStyle w:val="Texto"/>
              <w:spacing w:after="0" w:line="240" w:lineRule="auto"/>
              <w:ind w:firstLine="0"/>
              <w:contextualSpacing/>
              <w:rPr>
                <w:rFonts w:ascii="Times New Roman" w:hAnsi="Times New Roman" w:cs="Times New Roman"/>
                <w:sz w:val="26"/>
                <w:szCs w:val="26"/>
              </w:rPr>
            </w:pPr>
          </w:p>
          <w:p w:rsidR="0021281B" w:rsidRPr="00B372C2" w:rsidRDefault="007E3728" w:rsidP="000E0527">
            <w:pPr>
              <w:pStyle w:val="Texto"/>
              <w:numPr>
                <w:ilvl w:val="1"/>
                <w:numId w:val="2"/>
              </w:numPr>
              <w:spacing w:after="0" w:line="240" w:lineRule="auto"/>
              <w:ind w:left="423"/>
              <w:contextualSpacing/>
              <w:rPr>
                <w:rFonts w:ascii="Times New Roman" w:hAnsi="Times New Roman" w:cs="Times New Roman"/>
                <w:sz w:val="26"/>
                <w:szCs w:val="26"/>
              </w:rPr>
            </w:pPr>
            <w:r w:rsidRPr="00B372C2">
              <w:rPr>
                <w:rFonts w:ascii="Times New Roman" w:hAnsi="Times New Roman" w:cs="Times New Roman"/>
                <w:sz w:val="26"/>
                <w:szCs w:val="26"/>
              </w:rPr>
              <w:t>los Principios de Contabilidad Generalmente Aceptados (PCGA) definitivos, aplicables en los Estados Unidos de América, y</w:t>
            </w:r>
          </w:p>
          <w:p w:rsidR="0021281B" w:rsidRPr="00B372C2" w:rsidRDefault="007E3728" w:rsidP="000E0527">
            <w:pPr>
              <w:pStyle w:val="Texto"/>
              <w:tabs>
                <w:tab w:val="center" w:pos="4464"/>
                <w:tab w:val="right" w:pos="8582"/>
              </w:tabs>
              <w:spacing w:after="0" w:line="240" w:lineRule="auto"/>
              <w:ind w:left="396" w:right="288" w:hanging="396"/>
              <w:contextualSpacing/>
              <w:rPr>
                <w:rFonts w:ascii="Times New Roman" w:hAnsi="Times New Roman" w:cs="Times New Roman"/>
                <w:sz w:val="26"/>
                <w:szCs w:val="26"/>
              </w:rPr>
            </w:pPr>
            <w:r w:rsidRPr="00B372C2">
              <w:rPr>
                <w:rFonts w:ascii="Times New Roman" w:hAnsi="Times New Roman" w:cs="Times New Roman"/>
                <w:sz w:val="26"/>
                <w:szCs w:val="26"/>
              </w:rPr>
              <w:t>b)</w:t>
            </w:r>
            <w:r w:rsidRPr="00B372C2">
              <w:rPr>
                <w:rFonts w:ascii="Times New Roman" w:hAnsi="Times New Roman" w:cs="Times New Roman"/>
                <w:sz w:val="26"/>
                <w:szCs w:val="26"/>
              </w:rPr>
              <w:tab/>
              <w:t>cualquier norma de contabilidad que forme parte de un conjunto de normas formal y reconocido.</w:t>
            </w:r>
          </w:p>
          <w:p w:rsidR="0021281B" w:rsidRPr="00B372C2" w:rsidRDefault="0021281B" w:rsidP="000E0527">
            <w:pPr>
              <w:pStyle w:val="Texto"/>
              <w:spacing w:after="0" w:line="240" w:lineRule="auto"/>
              <w:ind w:left="396" w:hanging="396"/>
              <w:contextualSpacing/>
              <w:rPr>
                <w:rFonts w:ascii="Times New Roman" w:hAnsi="Times New Roman" w:cs="Times New Roman"/>
                <w:sz w:val="26"/>
                <w:szCs w:val="26"/>
              </w:rPr>
            </w:pPr>
          </w:p>
        </w:tc>
        <w:tc>
          <w:tcPr>
            <w:tcW w:w="765" w:type="dxa"/>
          </w:tcPr>
          <w:p w:rsidR="0021281B" w:rsidRPr="00B372C2" w:rsidRDefault="0021281B" w:rsidP="000E0527">
            <w:pPr>
              <w:pStyle w:val="Texto"/>
              <w:numPr>
                <w:ilvl w:val="0"/>
                <w:numId w:val="1"/>
              </w:numPr>
              <w:spacing w:after="0" w:line="240" w:lineRule="auto"/>
              <w:contextualSpacing/>
              <w:jc w:val="center"/>
              <w:rPr>
                <w:rFonts w:ascii="Times New Roman" w:hAnsi="Times New Roman" w:cs="Times New Roman"/>
                <w:sz w:val="20"/>
                <w:szCs w:val="26"/>
              </w:rPr>
            </w:pPr>
          </w:p>
        </w:tc>
      </w:tr>
      <w:tr w:rsidR="0021281B" w:rsidRPr="00B372C2" w:rsidTr="004F3B47">
        <w:tc>
          <w:tcPr>
            <w:tcW w:w="8234" w:type="dxa"/>
          </w:tcPr>
          <w:p w:rsidR="0021281B" w:rsidRPr="00B372C2" w:rsidRDefault="007E3728" w:rsidP="000E0527">
            <w:pPr>
              <w:pStyle w:val="Texto"/>
              <w:spacing w:after="0" w:line="240" w:lineRule="auto"/>
              <w:ind w:firstLine="0"/>
              <w:contextualSpacing/>
              <w:rPr>
                <w:rFonts w:ascii="Times New Roman" w:hAnsi="Times New Roman" w:cs="Times New Roman"/>
                <w:sz w:val="26"/>
                <w:szCs w:val="26"/>
              </w:rPr>
            </w:pPr>
            <w:r w:rsidRPr="00B372C2">
              <w:rPr>
                <w:rFonts w:ascii="Times New Roman" w:hAnsi="Times New Roman" w:cs="Times New Roman"/>
                <w:sz w:val="26"/>
                <w:szCs w:val="26"/>
              </w:rPr>
              <w:lastRenderedPageBreak/>
              <w:t xml:space="preserve">Para efectos del párrafo anterior, se considera que forman parte de los PCGA aplicables en los Estados Unidos de América </w:t>
            </w:r>
            <w:r w:rsidR="00063989" w:rsidRPr="00493E06">
              <w:rPr>
                <w:rFonts w:ascii="Times New Roman" w:hAnsi="Times New Roman" w:cs="Times New Roman"/>
                <w:sz w:val="26"/>
                <w:szCs w:val="26"/>
              </w:rPr>
              <w:t>tanto las fuentes oficiales (authoritative) como las fuentes no oficiales (nonauthoritative), conforme a lo establecido en el Tópico 105 de la Codificación (Codification) del Consejo de Normas de Contabilidad Financiera (Financial Accounting Standards Board, FASB), en el orden siguiente:</w:t>
            </w:r>
          </w:p>
          <w:p w:rsidR="0021281B" w:rsidRPr="00B372C2" w:rsidRDefault="0021281B" w:rsidP="000E0527">
            <w:pPr>
              <w:pStyle w:val="Texto"/>
              <w:spacing w:after="0" w:line="240" w:lineRule="auto"/>
              <w:ind w:firstLine="0"/>
              <w:contextualSpacing/>
              <w:rPr>
                <w:rFonts w:ascii="Times New Roman" w:hAnsi="Times New Roman" w:cs="Times New Roman"/>
                <w:sz w:val="26"/>
                <w:szCs w:val="26"/>
              </w:rPr>
            </w:pPr>
          </w:p>
          <w:p w:rsidR="00063989" w:rsidRPr="00B372C2" w:rsidRDefault="00063989" w:rsidP="00493E06">
            <w:pPr>
              <w:pStyle w:val="Texto"/>
              <w:numPr>
                <w:ilvl w:val="1"/>
                <w:numId w:val="1"/>
              </w:numPr>
              <w:tabs>
                <w:tab w:val="center" w:pos="4464"/>
                <w:tab w:val="right" w:pos="8582"/>
              </w:tabs>
              <w:spacing w:after="0" w:line="240" w:lineRule="auto"/>
              <w:ind w:left="565" w:hanging="567"/>
              <w:contextualSpacing/>
              <w:rPr>
                <w:rFonts w:ascii="Times New Roman" w:hAnsi="Times New Roman" w:cs="Times New Roman"/>
                <w:sz w:val="26"/>
                <w:szCs w:val="26"/>
              </w:rPr>
            </w:pPr>
            <w:r w:rsidRPr="00493E06">
              <w:rPr>
                <w:rFonts w:ascii="Times New Roman" w:hAnsi="Times New Roman" w:cs="Times New Roman"/>
                <w:sz w:val="26"/>
                <w:szCs w:val="26"/>
              </w:rPr>
              <w:t>Fuentes oficiales: la Codificación, las reglas o interpretaciones de la Comisión de Valores (Securities and Exchange Commission, SEC), los boletines contables del equipo de trabajo de la SEC (Staff Accounting Bulletins), y posturas de la SEC acerca de los Consensos de la Junta sobre Aspectos Emergentes del FASB (FASB Emerging Issues Task Force, EITF), y</w:t>
            </w:r>
          </w:p>
          <w:p w:rsidR="00063989" w:rsidRPr="00B372C2" w:rsidRDefault="00B027DA" w:rsidP="00493E06">
            <w:pPr>
              <w:pStyle w:val="Texto"/>
              <w:numPr>
                <w:ilvl w:val="1"/>
                <w:numId w:val="1"/>
              </w:numPr>
              <w:tabs>
                <w:tab w:val="center" w:pos="4464"/>
                <w:tab w:val="right" w:pos="8582"/>
              </w:tabs>
              <w:spacing w:after="0" w:line="240" w:lineRule="auto"/>
              <w:ind w:left="565" w:hanging="567"/>
              <w:contextualSpacing/>
              <w:rPr>
                <w:rFonts w:ascii="Times New Roman" w:hAnsi="Times New Roman" w:cs="Times New Roman"/>
                <w:sz w:val="26"/>
                <w:szCs w:val="26"/>
              </w:rPr>
            </w:pPr>
            <w:r w:rsidRPr="00B372C2">
              <w:rPr>
                <w:rFonts w:ascii="Times New Roman" w:hAnsi="Times New Roman" w:cs="Times New Roman"/>
                <w:sz w:val="26"/>
                <w:szCs w:val="26"/>
              </w:rPr>
              <w:t>Fuentes no oficiales: prácticas ampliamente reconocidas y preponderantes ya sea de manera generalizada o en una industria específica, las declaraciones de conceptos del FASB (FASB Concepts Statements), documentos del Instituto Americano de Contadores Públicos Certificados (American Institute of Cert</w:t>
            </w:r>
            <w:r w:rsidR="00077AA2" w:rsidRPr="00B372C2">
              <w:rPr>
                <w:rFonts w:ascii="Times New Roman" w:hAnsi="Times New Roman" w:cs="Times New Roman"/>
                <w:sz w:val="26"/>
                <w:szCs w:val="26"/>
              </w:rPr>
              <w:t>ified Public Accountants, AICPA</w:t>
            </w:r>
            <w:r w:rsidRPr="00B372C2">
              <w:rPr>
                <w:rFonts w:ascii="Times New Roman" w:hAnsi="Times New Roman" w:cs="Times New Roman"/>
                <w:sz w:val="26"/>
                <w:szCs w:val="26"/>
              </w:rPr>
              <w:t xml:space="preserve"> Issues Papers), pronunciamientos de asociaciones profesionales o agencias regulatorias, y preguntas y respuestas del Servicio de Información Técnico incluidas en las ayudas prácticas-técnicas del AICPA (Technical Information Service Inquir</w:t>
            </w:r>
            <w:r w:rsidR="00077AA2" w:rsidRPr="00B372C2">
              <w:rPr>
                <w:rFonts w:ascii="Times New Roman" w:hAnsi="Times New Roman" w:cs="Times New Roman"/>
                <w:sz w:val="26"/>
                <w:szCs w:val="26"/>
              </w:rPr>
              <w:t>i</w:t>
            </w:r>
            <w:r w:rsidRPr="00B372C2">
              <w:rPr>
                <w:rFonts w:ascii="Times New Roman" w:hAnsi="Times New Roman" w:cs="Times New Roman"/>
                <w:sz w:val="26"/>
                <w:szCs w:val="26"/>
              </w:rPr>
              <w:t>es and Replies included in AICPA Technical Practice Aids).</w:t>
            </w:r>
          </w:p>
          <w:p w:rsidR="00AF779C" w:rsidRPr="00B372C2" w:rsidRDefault="00AF779C" w:rsidP="000E0527">
            <w:pPr>
              <w:pStyle w:val="Texto"/>
              <w:tabs>
                <w:tab w:val="center" w:pos="4464"/>
                <w:tab w:val="right" w:pos="8582"/>
              </w:tabs>
              <w:spacing w:after="0" w:line="240" w:lineRule="auto"/>
              <w:ind w:left="396" w:right="288" w:hanging="396"/>
              <w:contextualSpacing/>
              <w:rPr>
                <w:rFonts w:ascii="Times New Roman" w:hAnsi="Times New Roman" w:cs="Times New Roman"/>
                <w:sz w:val="26"/>
                <w:szCs w:val="26"/>
              </w:rPr>
            </w:pPr>
          </w:p>
          <w:p w:rsidR="00063989" w:rsidRPr="00B372C2" w:rsidRDefault="007E3728" w:rsidP="00493E06">
            <w:pPr>
              <w:pStyle w:val="Texto"/>
              <w:spacing w:after="0" w:line="240" w:lineRule="auto"/>
              <w:ind w:left="396" w:hanging="396"/>
              <w:contextualSpacing/>
              <w:rPr>
                <w:rFonts w:ascii="Times New Roman" w:hAnsi="Times New Roman" w:cs="Times New Roman"/>
                <w:b/>
                <w:sz w:val="26"/>
                <w:szCs w:val="26"/>
              </w:rPr>
            </w:pPr>
            <w:r w:rsidRPr="00B372C2">
              <w:rPr>
                <w:rFonts w:ascii="Times New Roman" w:hAnsi="Times New Roman" w:cs="Times New Roman"/>
                <w:b/>
                <w:sz w:val="26"/>
                <w:szCs w:val="26"/>
              </w:rPr>
              <w:t>Requisitos de una norma supletoria y reglas de la supletoriedad</w:t>
            </w:r>
          </w:p>
          <w:p w:rsidR="00063989" w:rsidRPr="00B372C2" w:rsidRDefault="00063989" w:rsidP="00493E06">
            <w:pPr>
              <w:pStyle w:val="Texto"/>
              <w:spacing w:after="0" w:line="240" w:lineRule="auto"/>
              <w:ind w:left="396" w:hanging="396"/>
              <w:contextualSpacing/>
              <w:rPr>
                <w:rFonts w:ascii="Times New Roman" w:hAnsi="Times New Roman" w:cs="Times New Roman"/>
                <w:b/>
                <w:sz w:val="26"/>
                <w:szCs w:val="26"/>
              </w:rPr>
            </w:pPr>
          </w:p>
        </w:tc>
        <w:tc>
          <w:tcPr>
            <w:tcW w:w="765" w:type="dxa"/>
          </w:tcPr>
          <w:p w:rsidR="0021281B" w:rsidRPr="00B372C2" w:rsidRDefault="0021281B" w:rsidP="000E0527">
            <w:pPr>
              <w:pStyle w:val="Texto"/>
              <w:numPr>
                <w:ilvl w:val="0"/>
                <w:numId w:val="1"/>
              </w:numPr>
              <w:spacing w:after="0" w:line="240" w:lineRule="auto"/>
              <w:contextualSpacing/>
              <w:jc w:val="center"/>
              <w:rPr>
                <w:rFonts w:ascii="Times New Roman" w:hAnsi="Times New Roman" w:cs="Times New Roman"/>
                <w:sz w:val="20"/>
                <w:szCs w:val="26"/>
              </w:rPr>
            </w:pPr>
          </w:p>
        </w:tc>
      </w:tr>
      <w:tr w:rsidR="0021281B" w:rsidRPr="00B372C2" w:rsidTr="004F3B47">
        <w:tc>
          <w:tcPr>
            <w:tcW w:w="8234" w:type="dxa"/>
          </w:tcPr>
          <w:p w:rsidR="0021281B" w:rsidRPr="00B372C2" w:rsidRDefault="004217F2" w:rsidP="000E0527">
            <w:pPr>
              <w:pStyle w:val="Texto"/>
              <w:spacing w:after="0" w:line="240" w:lineRule="auto"/>
              <w:ind w:firstLine="0"/>
              <w:contextualSpacing/>
              <w:rPr>
                <w:rFonts w:ascii="Times New Roman" w:hAnsi="Times New Roman" w:cs="Times New Roman"/>
                <w:sz w:val="26"/>
                <w:szCs w:val="26"/>
              </w:rPr>
            </w:pPr>
            <w:r w:rsidRPr="00B372C2">
              <w:rPr>
                <w:rFonts w:ascii="Times New Roman" w:hAnsi="Times New Roman" w:cs="Times New Roman"/>
                <w:sz w:val="26"/>
                <w:szCs w:val="26"/>
              </w:rPr>
              <w:t>Adicionalmente a lo establecido en la referida NIF A-8, las normas que se apliquen supletoriamente deberán cumplir con lo siguiente:</w:t>
            </w:r>
          </w:p>
          <w:p w:rsidR="0021281B" w:rsidRPr="00B372C2" w:rsidRDefault="0021281B" w:rsidP="000E0527">
            <w:pPr>
              <w:pStyle w:val="Texto"/>
              <w:spacing w:after="0" w:line="240" w:lineRule="auto"/>
              <w:ind w:firstLine="0"/>
              <w:contextualSpacing/>
              <w:rPr>
                <w:rFonts w:ascii="Times New Roman" w:hAnsi="Times New Roman" w:cs="Times New Roman"/>
                <w:sz w:val="26"/>
                <w:szCs w:val="26"/>
              </w:rPr>
            </w:pPr>
          </w:p>
          <w:p w:rsidR="0021281B" w:rsidRPr="00B372C2" w:rsidRDefault="004217F2" w:rsidP="000E0527">
            <w:pPr>
              <w:pStyle w:val="Texto"/>
              <w:spacing w:after="0" w:line="240" w:lineRule="auto"/>
              <w:ind w:left="396" w:hanging="396"/>
              <w:contextualSpacing/>
              <w:rPr>
                <w:rFonts w:ascii="Times New Roman" w:hAnsi="Times New Roman" w:cs="Times New Roman"/>
                <w:sz w:val="26"/>
                <w:szCs w:val="26"/>
              </w:rPr>
            </w:pPr>
            <w:r w:rsidRPr="00B372C2">
              <w:rPr>
                <w:rFonts w:ascii="Times New Roman" w:hAnsi="Times New Roman" w:cs="Times New Roman"/>
                <w:sz w:val="26"/>
                <w:szCs w:val="26"/>
              </w:rPr>
              <w:t>a)</w:t>
            </w:r>
            <w:r w:rsidRPr="00B372C2">
              <w:rPr>
                <w:rFonts w:ascii="Times New Roman" w:hAnsi="Times New Roman" w:cs="Times New Roman"/>
                <w:sz w:val="26"/>
                <w:szCs w:val="26"/>
              </w:rPr>
              <w:tab/>
              <w:t>no podrán aplicarse de manera anticipada;</w:t>
            </w:r>
          </w:p>
          <w:p w:rsidR="0021281B" w:rsidRPr="00B372C2" w:rsidRDefault="004217F2" w:rsidP="000E0527">
            <w:pPr>
              <w:pStyle w:val="Texto"/>
              <w:spacing w:after="0" w:line="240" w:lineRule="auto"/>
              <w:ind w:left="396" w:hanging="396"/>
              <w:contextualSpacing/>
              <w:rPr>
                <w:rFonts w:ascii="Times New Roman" w:hAnsi="Times New Roman" w:cs="Times New Roman"/>
                <w:sz w:val="26"/>
                <w:szCs w:val="26"/>
              </w:rPr>
            </w:pPr>
            <w:r w:rsidRPr="00B372C2">
              <w:rPr>
                <w:rFonts w:ascii="Times New Roman" w:hAnsi="Times New Roman" w:cs="Times New Roman"/>
                <w:sz w:val="26"/>
                <w:szCs w:val="26"/>
              </w:rPr>
              <w:t>b)</w:t>
            </w:r>
            <w:r w:rsidRPr="00B372C2">
              <w:rPr>
                <w:rFonts w:ascii="Times New Roman" w:hAnsi="Times New Roman" w:cs="Times New Roman"/>
                <w:sz w:val="26"/>
                <w:szCs w:val="26"/>
              </w:rPr>
              <w:tab/>
              <w:t>no deben contravenir con la filosofía y los conceptos generales establecidos en los criterios de contabilidad para sociedades financieras populares</w:t>
            </w:r>
            <w:r w:rsidR="00511F8B">
              <w:rPr>
                <w:rFonts w:ascii="Times New Roman" w:hAnsi="Times New Roman" w:cs="Times New Roman"/>
                <w:sz w:val="26"/>
                <w:szCs w:val="26"/>
              </w:rPr>
              <w:t>, sociedades financieras</w:t>
            </w:r>
            <w:r w:rsidRPr="00B372C2">
              <w:rPr>
                <w:rFonts w:ascii="Times New Roman" w:hAnsi="Times New Roman" w:cs="Times New Roman"/>
                <w:sz w:val="26"/>
                <w:szCs w:val="26"/>
              </w:rPr>
              <w:t xml:space="preserve"> comunitarias</w:t>
            </w:r>
            <w:r w:rsidR="00511F8B">
              <w:rPr>
                <w:rFonts w:ascii="Times New Roman" w:hAnsi="Times New Roman" w:cs="Times New Roman"/>
                <w:sz w:val="26"/>
                <w:szCs w:val="26"/>
              </w:rPr>
              <w:t xml:space="preserve"> y</w:t>
            </w:r>
            <w:r w:rsidRPr="00B372C2">
              <w:rPr>
                <w:rFonts w:ascii="Times New Roman" w:hAnsi="Times New Roman" w:cs="Times New Roman"/>
                <w:sz w:val="26"/>
                <w:szCs w:val="26"/>
              </w:rPr>
              <w:t xml:space="preserve"> organismos de integración financiera rural;</w:t>
            </w:r>
          </w:p>
          <w:p w:rsidR="0021281B" w:rsidRPr="00B372C2" w:rsidRDefault="004217F2" w:rsidP="000E0527">
            <w:pPr>
              <w:pStyle w:val="Texto"/>
              <w:spacing w:after="0" w:line="240" w:lineRule="auto"/>
              <w:ind w:left="396" w:hanging="396"/>
              <w:contextualSpacing/>
              <w:rPr>
                <w:rFonts w:ascii="Times New Roman" w:hAnsi="Times New Roman" w:cs="Times New Roman"/>
                <w:sz w:val="26"/>
                <w:szCs w:val="26"/>
              </w:rPr>
            </w:pPr>
            <w:r w:rsidRPr="00B372C2">
              <w:rPr>
                <w:rFonts w:ascii="Times New Roman" w:hAnsi="Times New Roman" w:cs="Times New Roman"/>
                <w:sz w:val="26"/>
                <w:szCs w:val="26"/>
              </w:rPr>
              <w:t>c)</w:t>
            </w:r>
            <w:r w:rsidRPr="00B372C2">
              <w:rPr>
                <w:rFonts w:ascii="Times New Roman" w:hAnsi="Times New Roman" w:cs="Times New Roman"/>
                <w:sz w:val="26"/>
                <w:szCs w:val="26"/>
              </w:rPr>
              <w:tab/>
              <w:t>no será aplicable el proceso de supletoriedad que, en su caso, se encuentre previsto dentro de cada una de las normas utilizadas supletoriamente, excepto cuando dicha supletoriedad cumpla con los incisos anteriores y se cuente con la autorización de esta CNBV, y</w:t>
            </w:r>
          </w:p>
          <w:p w:rsidR="0021281B" w:rsidRPr="00B372C2" w:rsidRDefault="004217F2" w:rsidP="000E0527">
            <w:pPr>
              <w:pStyle w:val="Texto"/>
              <w:spacing w:after="0" w:line="240" w:lineRule="auto"/>
              <w:ind w:left="396" w:hanging="396"/>
              <w:contextualSpacing/>
              <w:rPr>
                <w:rFonts w:ascii="Times New Roman" w:hAnsi="Times New Roman" w:cs="Times New Roman"/>
                <w:sz w:val="26"/>
                <w:szCs w:val="26"/>
              </w:rPr>
            </w:pPr>
            <w:r w:rsidRPr="00B372C2">
              <w:rPr>
                <w:rFonts w:ascii="Times New Roman" w:hAnsi="Times New Roman" w:cs="Times New Roman"/>
                <w:sz w:val="26"/>
                <w:szCs w:val="26"/>
              </w:rPr>
              <w:t>d)</w:t>
            </w:r>
            <w:r w:rsidRPr="00B372C2">
              <w:rPr>
                <w:rFonts w:ascii="Times New Roman" w:hAnsi="Times New Roman" w:cs="Times New Roman"/>
                <w:sz w:val="26"/>
                <w:szCs w:val="26"/>
              </w:rPr>
              <w:tab/>
              <w:t>serán sustituidas las normas que hayan sido aplicadas en el proceso de supletoriedad, al momento de que se emita un criterio de contabilidad específico por parte de la CNBV o una NIF, sobre el tema en el que se aplicó dicho proceso.</w:t>
            </w:r>
          </w:p>
          <w:p w:rsidR="0021281B" w:rsidRPr="00B372C2" w:rsidRDefault="0021281B" w:rsidP="000E0527">
            <w:pPr>
              <w:pStyle w:val="Texto"/>
              <w:spacing w:after="0" w:line="240" w:lineRule="auto"/>
              <w:ind w:left="396" w:hanging="396"/>
              <w:contextualSpacing/>
              <w:rPr>
                <w:rFonts w:ascii="Times New Roman" w:hAnsi="Times New Roman" w:cs="Times New Roman"/>
                <w:sz w:val="26"/>
                <w:szCs w:val="26"/>
              </w:rPr>
            </w:pPr>
          </w:p>
          <w:p w:rsidR="0021281B" w:rsidRPr="00B372C2" w:rsidRDefault="004217F2" w:rsidP="000E0527">
            <w:pPr>
              <w:pStyle w:val="Texto"/>
              <w:spacing w:after="0" w:line="240" w:lineRule="auto"/>
              <w:ind w:firstLine="0"/>
              <w:contextualSpacing/>
              <w:rPr>
                <w:rFonts w:ascii="Times New Roman" w:hAnsi="Times New Roman" w:cs="Times New Roman"/>
                <w:b/>
                <w:sz w:val="26"/>
                <w:szCs w:val="26"/>
              </w:rPr>
            </w:pPr>
            <w:r w:rsidRPr="00B372C2">
              <w:rPr>
                <w:rFonts w:ascii="Times New Roman" w:hAnsi="Times New Roman" w:cs="Times New Roman"/>
                <w:b/>
                <w:sz w:val="26"/>
                <w:szCs w:val="26"/>
              </w:rPr>
              <w:t>Normas de revelación</w:t>
            </w:r>
          </w:p>
          <w:p w:rsidR="0021281B" w:rsidRPr="00B372C2" w:rsidRDefault="0021281B" w:rsidP="000E0527">
            <w:pPr>
              <w:pStyle w:val="Texto"/>
              <w:spacing w:after="0" w:line="240" w:lineRule="auto"/>
              <w:ind w:firstLine="0"/>
              <w:contextualSpacing/>
              <w:rPr>
                <w:rFonts w:ascii="Times New Roman" w:hAnsi="Times New Roman" w:cs="Times New Roman"/>
                <w:b/>
                <w:sz w:val="26"/>
                <w:szCs w:val="26"/>
              </w:rPr>
            </w:pPr>
          </w:p>
        </w:tc>
        <w:tc>
          <w:tcPr>
            <w:tcW w:w="765" w:type="dxa"/>
          </w:tcPr>
          <w:p w:rsidR="0021281B" w:rsidRPr="00B372C2" w:rsidRDefault="0021281B" w:rsidP="000E0527">
            <w:pPr>
              <w:pStyle w:val="Texto"/>
              <w:numPr>
                <w:ilvl w:val="0"/>
                <w:numId w:val="1"/>
              </w:numPr>
              <w:spacing w:after="0" w:line="240" w:lineRule="auto"/>
              <w:contextualSpacing/>
              <w:jc w:val="center"/>
              <w:rPr>
                <w:rFonts w:ascii="Times New Roman" w:hAnsi="Times New Roman" w:cs="Times New Roman"/>
                <w:sz w:val="20"/>
                <w:szCs w:val="26"/>
              </w:rPr>
            </w:pPr>
          </w:p>
        </w:tc>
      </w:tr>
      <w:tr w:rsidR="0021281B" w:rsidRPr="000E0527" w:rsidTr="004F3B47">
        <w:tc>
          <w:tcPr>
            <w:tcW w:w="8234" w:type="dxa"/>
          </w:tcPr>
          <w:p w:rsidR="0021281B" w:rsidRPr="00B372C2" w:rsidRDefault="004217F2" w:rsidP="000E0527">
            <w:pPr>
              <w:pStyle w:val="Texto"/>
              <w:spacing w:after="0" w:line="240" w:lineRule="auto"/>
              <w:ind w:firstLine="0"/>
              <w:contextualSpacing/>
              <w:rPr>
                <w:rFonts w:ascii="Times New Roman" w:hAnsi="Times New Roman" w:cs="Times New Roman"/>
                <w:sz w:val="26"/>
                <w:szCs w:val="26"/>
              </w:rPr>
            </w:pPr>
            <w:r w:rsidRPr="00B372C2">
              <w:rPr>
                <w:rFonts w:ascii="Times New Roman" w:hAnsi="Times New Roman" w:cs="Times New Roman"/>
                <w:sz w:val="26"/>
                <w:szCs w:val="26"/>
              </w:rPr>
              <w:lastRenderedPageBreak/>
              <w:t>Las entidades que sigan el proceso supletorio consignado en este criterio, deberán comunicar por escrito a la vicepresidencia de la CNBV encargada de su supervisión, así como a la Federación que realice su supervisión auxiliar, dentro de los 10 días naturales siguientes a su aplicación, la norma contable que se hubiere adoptado supletoriamente, así como su base de aplicación y la fuente utilizada. Adicionalmente, las entidades deberán revelar mediante notas a los estados financieros, la información solicitada en la citada NIF A-8 y la cuantificación de sus impactos en los estados financieros.</w:t>
            </w:r>
          </w:p>
        </w:tc>
        <w:tc>
          <w:tcPr>
            <w:tcW w:w="765" w:type="dxa"/>
          </w:tcPr>
          <w:p w:rsidR="0021281B" w:rsidRPr="00B372C2" w:rsidRDefault="0021281B" w:rsidP="000E0527">
            <w:pPr>
              <w:pStyle w:val="Texto"/>
              <w:numPr>
                <w:ilvl w:val="0"/>
                <w:numId w:val="1"/>
              </w:numPr>
              <w:spacing w:after="0" w:line="240" w:lineRule="auto"/>
              <w:contextualSpacing/>
              <w:jc w:val="center"/>
              <w:rPr>
                <w:rFonts w:ascii="Times New Roman" w:hAnsi="Times New Roman" w:cs="Times New Roman"/>
                <w:sz w:val="20"/>
                <w:szCs w:val="26"/>
              </w:rPr>
            </w:pPr>
          </w:p>
        </w:tc>
      </w:tr>
    </w:tbl>
    <w:p w:rsidR="0021281B" w:rsidRPr="000E0527" w:rsidRDefault="0021281B" w:rsidP="000E0527">
      <w:pPr>
        <w:pStyle w:val="Texto"/>
        <w:spacing w:after="0" w:line="240" w:lineRule="auto"/>
        <w:contextualSpacing/>
        <w:rPr>
          <w:rFonts w:ascii="Times New Roman" w:hAnsi="Times New Roman" w:cs="Times New Roman"/>
          <w:sz w:val="26"/>
          <w:szCs w:val="26"/>
        </w:rPr>
      </w:pPr>
    </w:p>
    <w:p w:rsidR="00B175D6" w:rsidRPr="000E0527" w:rsidRDefault="00B175D6" w:rsidP="000E0527">
      <w:pPr>
        <w:contextualSpacing/>
        <w:rPr>
          <w:sz w:val="26"/>
          <w:szCs w:val="26"/>
        </w:rPr>
      </w:pPr>
    </w:p>
    <w:sectPr w:rsidR="00B175D6" w:rsidRPr="000E0527" w:rsidSect="004F3B47">
      <w:headerReference w:type="default" r:id="rId9"/>
      <w:pgSz w:w="12242" w:h="15842" w:code="1"/>
      <w:pgMar w:top="1843"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DCA" w:rsidRPr="00D2675B" w:rsidRDefault="002D0DCA" w:rsidP="006D1DF7">
      <w:pPr>
        <w:rPr>
          <w:rFonts w:eastAsia="Calibri"/>
          <w:sz w:val="20"/>
          <w:lang w:val="es-MX" w:eastAsia="en-US"/>
        </w:rPr>
      </w:pPr>
      <w:r>
        <w:separator/>
      </w:r>
    </w:p>
  </w:endnote>
  <w:endnote w:type="continuationSeparator" w:id="0">
    <w:p w:rsidR="002D0DCA" w:rsidRPr="00D2675B" w:rsidRDefault="002D0DCA" w:rsidP="006D1DF7">
      <w:pPr>
        <w:rPr>
          <w:rFonts w:eastAsia="Calibri"/>
          <w:sz w:val="20"/>
          <w:lang w:val="es-MX"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DCA" w:rsidRPr="00D2675B" w:rsidRDefault="002D0DCA" w:rsidP="006D1DF7">
      <w:pPr>
        <w:rPr>
          <w:rFonts w:eastAsia="Calibri"/>
          <w:sz w:val="20"/>
          <w:lang w:val="es-MX" w:eastAsia="en-US"/>
        </w:rPr>
      </w:pPr>
      <w:r>
        <w:separator/>
      </w:r>
    </w:p>
  </w:footnote>
  <w:footnote w:type="continuationSeparator" w:id="0">
    <w:p w:rsidR="002D0DCA" w:rsidRPr="00D2675B" w:rsidRDefault="002D0DCA" w:rsidP="006D1DF7">
      <w:pPr>
        <w:rPr>
          <w:rFonts w:eastAsia="Calibri"/>
          <w:sz w:val="20"/>
          <w:lang w:val="es-MX" w:eastAsia="en-US"/>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79" w:rsidRDefault="002D0DCA" w:rsidP="00493E06">
    <w:pPr>
      <w:pStyle w:val="Encabezado"/>
      <w:tabs>
        <w:tab w:val="clear" w:pos="4252"/>
        <w:tab w:val="center" w:pos="5103"/>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14C8C"/>
    <w:multiLevelType w:val="hybridMultilevel"/>
    <w:tmpl w:val="358A78DA"/>
    <w:lvl w:ilvl="0" w:tplc="BCA0C5E6">
      <w:start w:val="1"/>
      <w:numFmt w:val="decimal"/>
      <w:lvlText w:val="%1"/>
      <w:lvlJc w:val="left"/>
      <w:pPr>
        <w:ind w:left="720" w:hanging="360"/>
      </w:pPr>
      <w:rPr>
        <w:rFonts w:hint="default"/>
      </w:rPr>
    </w:lvl>
    <w:lvl w:ilvl="1" w:tplc="B87C022A">
      <w:start w:val="1"/>
      <w:numFmt w:val="lowerLetter"/>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9740EC"/>
    <w:multiLevelType w:val="hybridMultilevel"/>
    <w:tmpl w:val="B81ED542"/>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1B"/>
    <w:rsid w:val="00024088"/>
    <w:rsid w:val="00024F0B"/>
    <w:rsid w:val="000512CC"/>
    <w:rsid w:val="00060D67"/>
    <w:rsid w:val="00063989"/>
    <w:rsid w:val="00077AA2"/>
    <w:rsid w:val="000871B4"/>
    <w:rsid w:val="000952C0"/>
    <w:rsid w:val="000E0527"/>
    <w:rsid w:val="000F5A88"/>
    <w:rsid w:val="00111347"/>
    <w:rsid w:val="001410A2"/>
    <w:rsid w:val="001705D3"/>
    <w:rsid w:val="00181E6B"/>
    <w:rsid w:val="001C01CD"/>
    <w:rsid w:val="00206E39"/>
    <w:rsid w:val="0021281B"/>
    <w:rsid w:val="00254DEF"/>
    <w:rsid w:val="002717D1"/>
    <w:rsid w:val="00272FBE"/>
    <w:rsid w:val="002B16D0"/>
    <w:rsid w:val="002C2E32"/>
    <w:rsid w:val="002D0DCA"/>
    <w:rsid w:val="002D3AC6"/>
    <w:rsid w:val="003430A7"/>
    <w:rsid w:val="003C35A1"/>
    <w:rsid w:val="003F3D13"/>
    <w:rsid w:val="004217F2"/>
    <w:rsid w:val="004610BE"/>
    <w:rsid w:val="00493E06"/>
    <w:rsid w:val="00494AA3"/>
    <w:rsid w:val="004D5A34"/>
    <w:rsid w:val="004F3B47"/>
    <w:rsid w:val="00511F8B"/>
    <w:rsid w:val="005235ED"/>
    <w:rsid w:val="0053140D"/>
    <w:rsid w:val="00533ADA"/>
    <w:rsid w:val="005419A6"/>
    <w:rsid w:val="00552318"/>
    <w:rsid w:val="005D6BCB"/>
    <w:rsid w:val="00640EBD"/>
    <w:rsid w:val="006A1AE4"/>
    <w:rsid w:val="006B1164"/>
    <w:rsid w:val="006B1565"/>
    <w:rsid w:val="006B3E4A"/>
    <w:rsid w:val="006C2A77"/>
    <w:rsid w:val="006D1DF7"/>
    <w:rsid w:val="006F36AA"/>
    <w:rsid w:val="006F454B"/>
    <w:rsid w:val="007224E8"/>
    <w:rsid w:val="007452EB"/>
    <w:rsid w:val="007E3728"/>
    <w:rsid w:val="007E5B8B"/>
    <w:rsid w:val="0081500D"/>
    <w:rsid w:val="00845202"/>
    <w:rsid w:val="00850CC8"/>
    <w:rsid w:val="00867E9D"/>
    <w:rsid w:val="00873BE1"/>
    <w:rsid w:val="00890D44"/>
    <w:rsid w:val="008B6A0C"/>
    <w:rsid w:val="008C36AD"/>
    <w:rsid w:val="008E598F"/>
    <w:rsid w:val="00925F6D"/>
    <w:rsid w:val="009E2BE3"/>
    <w:rsid w:val="00A40086"/>
    <w:rsid w:val="00A73023"/>
    <w:rsid w:val="00AC53B1"/>
    <w:rsid w:val="00AF0601"/>
    <w:rsid w:val="00AF779C"/>
    <w:rsid w:val="00B027DA"/>
    <w:rsid w:val="00B175D6"/>
    <w:rsid w:val="00B372C2"/>
    <w:rsid w:val="00BA178C"/>
    <w:rsid w:val="00C0755A"/>
    <w:rsid w:val="00C83F43"/>
    <w:rsid w:val="00CA336F"/>
    <w:rsid w:val="00D125D9"/>
    <w:rsid w:val="00D45368"/>
    <w:rsid w:val="00D51143"/>
    <w:rsid w:val="00DA70F2"/>
    <w:rsid w:val="00DC671E"/>
    <w:rsid w:val="00DD0EEF"/>
    <w:rsid w:val="00E32711"/>
    <w:rsid w:val="00E373C8"/>
    <w:rsid w:val="00E578C9"/>
    <w:rsid w:val="00EA73F7"/>
    <w:rsid w:val="00ED1F46"/>
    <w:rsid w:val="00F1369F"/>
    <w:rsid w:val="00F15413"/>
    <w:rsid w:val="00FF4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1B"/>
    <w:pPr>
      <w:spacing w:after="0" w:line="240" w:lineRule="auto"/>
    </w:pPr>
    <w:rPr>
      <w:rFonts w:ascii="Times New Roman" w:eastAsia="SimSun" w:hAnsi="Times New Roman" w:cs="Times New Roman"/>
      <w:sz w:val="24"/>
      <w:szCs w:val="24"/>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1281B"/>
    <w:pPr>
      <w:tabs>
        <w:tab w:val="center" w:pos="4252"/>
        <w:tab w:val="right" w:pos="8504"/>
      </w:tabs>
    </w:pPr>
  </w:style>
  <w:style w:type="character" w:customStyle="1" w:styleId="EncabezadoCar">
    <w:name w:val="Encabezado Car"/>
    <w:basedOn w:val="Fuentedeprrafopredeter"/>
    <w:link w:val="Encabezado"/>
    <w:rsid w:val="0021281B"/>
    <w:rPr>
      <w:rFonts w:ascii="Times New Roman" w:eastAsia="SimSun" w:hAnsi="Times New Roman" w:cs="Times New Roman"/>
      <w:sz w:val="24"/>
      <w:szCs w:val="24"/>
      <w:lang w:val="es-ES" w:eastAsia="zh-CN"/>
    </w:rPr>
  </w:style>
  <w:style w:type="paragraph" w:customStyle="1" w:styleId="Texto">
    <w:name w:val="Texto"/>
    <w:basedOn w:val="Normal"/>
    <w:link w:val="TextoCar"/>
    <w:rsid w:val="0021281B"/>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21281B"/>
    <w:rPr>
      <w:rFonts w:ascii="Arial" w:eastAsia="Times New Roman" w:hAnsi="Arial" w:cs="Arial"/>
      <w:sz w:val="18"/>
      <w:szCs w:val="20"/>
      <w:lang w:val="es-ES" w:eastAsia="es-ES"/>
    </w:rPr>
  </w:style>
  <w:style w:type="paragraph" w:styleId="Piedepgina">
    <w:name w:val="footer"/>
    <w:basedOn w:val="Normal"/>
    <w:link w:val="PiedepginaCar"/>
    <w:uiPriority w:val="99"/>
    <w:unhideWhenUsed/>
    <w:rsid w:val="00024088"/>
    <w:pPr>
      <w:tabs>
        <w:tab w:val="center" w:pos="4513"/>
        <w:tab w:val="right" w:pos="9026"/>
      </w:tabs>
    </w:pPr>
  </w:style>
  <w:style w:type="character" w:customStyle="1" w:styleId="PiedepginaCar">
    <w:name w:val="Pie de página Car"/>
    <w:basedOn w:val="Fuentedeprrafopredeter"/>
    <w:link w:val="Piedepgina"/>
    <w:uiPriority w:val="99"/>
    <w:rsid w:val="00024088"/>
    <w:rPr>
      <w:rFonts w:ascii="Times New Roman" w:eastAsia="SimSun" w:hAnsi="Times New Roman" w:cs="Times New Roman"/>
      <w:sz w:val="24"/>
      <w:szCs w:val="24"/>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1B"/>
    <w:pPr>
      <w:spacing w:after="0" w:line="240" w:lineRule="auto"/>
    </w:pPr>
    <w:rPr>
      <w:rFonts w:ascii="Times New Roman" w:eastAsia="SimSun" w:hAnsi="Times New Roman" w:cs="Times New Roman"/>
      <w:sz w:val="24"/>
      <w:szCs w:val="24"/>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1281B"/>
    <w:pPr>
      <w:tabs>
        <w:tab w:val="center" w:pos="4252"/>
        <w:tab w:val="right" w:pos="8504"/>
      </w:tabs>
    </w:pPr>
  </w:style>
  <w:style w:type="character" w:customStyle="1" w:styleId="EncabezadoCar">
    <w:name w:val="Encabezado Car"/>
    <w:basedOn w:val="Fuentedeprrafopredeter"/>
    <w:link w:val="Encabezado"/>
    <w:rsid w:val="0021281B"/>
    <w:rPr>
      <w:rFonts w:ascii="Times New Roman" w:eastAsia="SimSun" w:hAnsi="Times New Roman" w:cs="Times New Roman"/>
      <w:sz w:val="24"/>
      <w:szCs w:val="24"/>
      <w:lang w:val="es-ES" w:eastAsia="zh-CN"/>
    </w:rPr>
  </w:style>
  <w:style w:type="paragraph" w:customStyle="1" w:styleId="Texto">
    <w:name w:val="Texto"/>
    <w:basedOn w:val="Normal"/>
    <w:link w:val="TextoCar"/>
    <w:rsid w:val="0021281B"/>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21281B"/>
    <w:rPr>
      <w:rFonts w:ascii="Arial" w:eastAsia="Times New Roman" w:hAnsi="Arial" w:cs="Arial"/>
      <w:sz w:val="18"/>
      <w:szCs w:val="20"/>
      <w:lang w:val="es-ES" w:eastAsia="es-ES"/>
    </w:rPr>
  </w:style>
  <w:style w:type="paragraph" w:styleId="Piedepgina">
    <w:name w:val="footer"/>
    <w:basedOn w:val="Normal"/>
    <w:link w:val="PiedepginaCar"/>
    <w:uiPriority w:val="99"/>
    <w:unhideWhenUsed/>
    <w:rsid w:val="00024088"/>
    <w:pPr>
      <w:tabs>
        <w:tab w:val="center" w:pos="4513"/>
        <w:tab w:val="right" w:pos="9026"/>
      </w:tabs>
    </w:pPr>
  </w:style>
  <w:style w:type="character" w:customStyle="1" w:styleId="PiedepginaCar">
    <w:name w:val="Pie de página Car"/>
    <w:basedOn w:val="Fuentedeprrafopredeter"/>
    <w:link w:val="Piedepgina"/>
    <w:uiPriority w:val="99"/>
    <w:rsid w:val="00024088"/>
    <w:rPr>
      <w:rFonts w:ascii="Times New Roman" w:eastAsia="SimSun" w:hAnsi="Times New Roman" w:cs="Times New Roman"/>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0E3EB-C0ED-4381-A876-7874A378A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767</Words>
  <Characters>4220</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C.N.B.V</Company>
  <LinksUpToDate>false</LinksUpToDate>
  <CharactersWithSpaces>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DGARC</cp:lastModifiedBy>
  <cp:revision>2</cp:revision>
  <dcterms:created xsi:type="dcterms:W3CDTF">2014-10-30T18:54:00Z</dcterms:created>
  <dcterms:modified xsi:type="dcterms:W3CDTF">2014-10-30T18:54:00Z</dcterms:modified>
</cp:coreProperties>
</file>