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CB" w:rsidRPr="00DB27B2" w:rsidRDefault="006B36CB" w:rsidP="006B36CB">
      <w:pPr>
        <w:pStyle w:val="Texto"/>
        <w:rPr>
          <w:rFonts w:ascii="Arial Narrow" w:hAnsi="Arial Narrow"/>
          <w:b/>
          <w:sz w:val="20"/>
        </w:rPr>
      </w:pPr>
      <w:r w:rsidRPr="00DB27B2">
        <w:rPr>
          <w:rFonts w:ascii="Arial Narrow" w:hAnsi="Arial Narrow"/>
          <w:b/>
          <w:sz w:val="20"/>
        </w:rPr>
        <w:t>B.</w:t>
      </w:r>
      <w:r w:rsidRPr="00DB27B2">
        <w:rPr>
          <w:rFonts w:ascii="Arial Narrow" w:hAnsi="Arial Narrow"/>
          <w:b/>
          <w:sz w:val="20"/>
        </w:rPr>
        <w:tab/>
        <w:t>ANÁLISIS DE ACCIONES REGULATORIAS</w:t>
      </w:r>
    </w:p>
    <w:p w:rsidR="006B36CB" w:rsidRPr="00DB27B2" w:rsidRDefault="006B36CB" w:rsidP="006B36CB">
      <w:pPr>
        <w:pStyle w:val="Texto"/>
        <w:ind w:left="720" w:firstLine="0"/>
        <w:rPr>
          <w:rFonts w:ascii="Arial Narrow" w:hAnsi="Arial Narrow"/>
          <w:b/>
          <w:sz w:val="20"/>
          <w:shd w:val="clear" w:color="auto" w:fill="D9D9D9" w:themeFill="background1" w:themeFillShade="D9"/>
        </w:rPr>
      </w:pPr>
      <w:r w:rsidRPr="00DB27B2">
        <w:rPr>
          <w:rFonts w:ascii="Arial Narrow" w:hAnsi="Arial Narrow"/>
          <w:b/>
          <w:sz w:val="20"/>
          <w:shd w:val="clear" w:color="auto" w:fill="D9D9D9" w:themeFill="background1" w:themeFillShade="D9"/>
        </w:rPr>
        <w:t>7. Seleccione las disposiciones, obligaciones y/o acciones distintas a los trámites y a aquellas que restrinjan la competencia o promuevan la eficiencia en el mercado que correspondan a la propuesta.</w:t>
      </w:r>
    </w:p>
    <w:p w:rsidR="006B36CB" w:rsidRPr="00DB27B2" w:rsidRDefault="006B36CB" w:rsidP="006B36CB">
      <w:pPr>
        <w:pStyle w:val="Texto"/>
        <w:ind w:firstLine="0"/>
        <w:rPr>
          <w:rFonts w:ascii="Arial Narrow" w:hAnsi="Arial Narrow"/>
          <w:b/>
          <w:sz w:val="20"/>
          <w:shd w:val="clear" w:color="auto" w:fill="D9D9D9" w:themeFill="background1" w:themeFillShade="D9"/>
        </w:rPr>
      </w:pPr>
    </w:p>
    <w:tbl>
      <w:tblPr>
        <w:tblStyle w:val="Tablaconcuadrcula"/>
        <w:tblW w:w="8926" w:type="dxa"/>
        <w:jc w:val="right"/>
        <w:tblLook w:val="04A0" w:firstRow="1" w:lastRow="0" w:firstColumn="1" w:lastColumn="0" w:noHBand="0" w:noVBand="1"/>
      </w:tblPr>
      <w:tblGrid>
        <w:gridCol w:w="3261"/>
        <w:gridCol w:w="3538"/>
        <w:gridCol w:w="2127"/>
      </w:tblGrid>
      <w:tr w:rsidR="006B36CB" w:rsidRPr="00DD273D" w:rsidTr="006B36CB">
        <w:trPr>
          <w:jc w:val="right"/>
        </w:trPr>
        <w:tc>
          <w:tcPr>
            <w:tcW w:w="3261" w:type="dxa"/>
            <w:shd w:val="clear" w:color="auto" w:fill="BDD6EE" w:themeFill="accent1" w:themeFillTint="66"/>
            <w:vAlign w:val="center"/>
          </w:tcPr>
          <w:p w:rsidR="006B36CB" w:rsidRPr="00DD273D" w:rsidRDefault="006B36CB" w:rsidP="006B36CB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273D">
              <w:rPr>
                <w:rFonts w:ascii="Arial Narrow" w:hAnsi="Arial Narrow"/>
                <w:b/>
                <w:sz w:val="20"/>
                <w:szCs w:val="20"/>
              </w:rPr>
              <w:t>Acción Regulatoria</w:t>
            </w:r>
          </w:p>
        </w:tc>
        <w:tc>
          <w:tcPr>
            <w:tcW w:w="3538" w:type="dxa"/>
            <w:shd w:val="clear" w:color="auto" w:fill="BDD6EE" w:themeFill="accent1" w:themeFillTint="66"/>
            <w:vAlign w:val="center"/>
          </w:tcPr>
          <w:p w:rsidR="006B36CB" w:rsidRPr="00DD273D" w:rsidRDefault="006B36CB" w:rsidP="006B36CB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273D">
              <w:rPr>
                <w:rFonts w:ascii="Arial Narrow" w:hAnsi="Arial Narrow"/>
                <w:b/>
                <w:sz w:val="20"/>
                <w:szCs w:val="20"/>
              </w:rPr>
              <w:t xml:space="preserve">Justificación 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6B36CB" w:rsidRPr="00DD273D" w:rsidRDefault="006B36CB" w:rsidP="006B36CB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273D">
              <w:rPr>
                <w:rFonts w:ascii="Arial Narrow" w:hAnsi="Arial Narrow"/>
                <w:b/>
                <w:sz w:val="20"/>
                <w:szCs w:val="20"/>
              </w:rPr>
              <w:t>Costo-Beneficio</w:t>
            </w:r>
          </w:p>
        </w:tc>
      </w:tr>
      <w:tr w:rsidR="006B36CB" w:rsidRPr="00DD273D" w:rsidTr="006B36CB">
        <w:trPr>
          <w:jc w:val="right"/>
        </w:trPr>
        <w:tc>
          <w:tcPr>
            <w:tcW w:w="3261" w:type="dxa"/>
            <w:vAlign w:val="center"/>
          </w:tcPr>
          <w:p w:rsidR="006B36CB" w:rsidRPr="00C00C4C" w:rsidRDefault="006B36CB" w:rsidP="006B36CB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E71924">
              <w:rPr>
                <w:rFonts w:ascii="Arial Narrow" w:hAnsi="Arial Narrow"/>
                <w:b/>
                <w:sz w:val="22"/>
                <w:szCs w:val="22"/>
              </w:rPr>
              <w:t>Transitorio sexto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C00C4C">
              <w:rPr>
                <w:rFonts w:ascii="Arial Narrow" w:hAnsi="Arial Narrow"/>
                <w:sz w:val="22"/>
                <w:szCs w:val="22"/>
              </w:rPr>
              <w:t xml:space="preserve"> Los medidores instalados previamente a la entrada en vigor de la presente Norma Oficial Mexicana en servicios de media tensión con cargas mayores o iguales a 100 kW, deberán dar cumplimiento a las especificaciones previstas en este instrumento, en un plazo máximo de 24 meses contados a partir de su entrada en vigor.</w:t>
            </w:r>
          </w:p>
          <w:p w:rsidR="006B36CB" w:rsidRPr="00DD273D" w:rsidRDefault="006B36CB" w:rsidP="006B36C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538" w:type="dxa"/>
            <w:vAlign w:val="center"/>
          </w:tcPr>
          <w:p w:rsidR="006B36CB" w:rsidRPr="00C00C4C" w:rsidRDefault="006B36CB" w:rsidP="006B36CB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C00C4C">
              <w:rPr>
                <w:rFonts w:ascii="Arial Narrow" w:hAnsi="Arial Narrow"/>
                <w:sz w:val="22"/>
                <w:szCs w:val="22"/>
              </w:rPr>
              <w:t>La implementación de la regulación propuesta tiene un claro impacto sobre las pérdidas que corresponden a la medición de la energía consumida en los tres niveles, es decir, residencial, comercial e industrial, en este sentido se presenta un ejercicio para apreciar dichos beneficios anuales.</w:t>
            </w:r>
          </w:p>
          <w:p w:rsidR="006B36CB" w:rsidRPr="00C00C4C" w:rsidRDefault="006B36CB" w:rsidP="006B36CB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6B36CB" w:rsidRPr="00DD273D" w:rsidRDefault="006B36CB" w:rsidP="006B36CB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 w:val="20"/>
                <w:lang w:val="es-ES_tradnl"/>
              </w:rPr>
            </w:pPr>
            <w:r w:rsidRPr="00C00C4C">
              <w:rPr>
                <w:rFonts w:ascii="Arial Narrow" w:hAnsi="Arial Narrow"/>
                <w:sz w:val="22"/>
                <w:szCs w:val="22"/>
              </w:rPr>
              <w:t>Cabe destacar que los medidores que actualmente están en funcionamiento tienen una Clase de exactitud del 2%; en tanto los medidores establecidos en la regulación tienen Clase de exactitud 0.5% y 0.2%.</w:t>
            </w:r>
          </w:p>
        </w:tc>
        <w:tc>
          <w:tcPr>
            <w:tcW w:w="2127" w:type="dxa"/>
            <w:vAlign w:val="center"/>
          </w:tcPr>
          <w:p w:rsidR="006B36CB" w:rsidRPr="00DD273D" w:rsidRDefault="006B36CB" w:rsidP="006B36CB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DD273D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Beneficio: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Disminución en las pérdidas en media tensión. Véase Anexo 10 y 11.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r w:rsidRPr="00DD273D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6B36CB" w:rsidRPr="00DD273D" w:rsidTr="006B36CB">
        <w:trPr>
          <w:jc w:val="right"/>
        </w:trPr>
        <w:tc>
          <w:tcPr>
            <w:tcW w:w="3261" w:type="dxa"/>
            <w:vAlign w:val="center"/>
          </w:tcPr>
          <w:p w:rsidR="006B36CB" w:rsidRPr="00C00C4C" w:rsidRDefault="006B36CB" w:rsidP="006B36CB">
            <w:pPr>
              <w:pStyle w:val="Prrafodelista"/>
              <w:spacing w:before="0" w:after="0"/>
              <w:ind w:left="30"/>
              <w:rPr>
                <w:rFonts w:ascii="Arial Narrow" w:eastAsia="Times New Roman" w:hAnsi="Arial Narrow" w:cs="Arial"/>
                <w:lang w:val="es-ES" w:eastAsia="es-ES"/>
              </w:rPr>
            </w:pPr>
            <w:r w:rsidRPr="00E71924">
              <w:rPr>
                <w:rFonts w:ascii="Arial Narrow" w:eastAsia="Times New Roman" w:hAnsi="Arial Narrow" w:cs="Arial"/>
                <w:b/>
                <w:lang w:val="es-ES" w:eastAsia="es-ES"/>
              </w:rPr>
              <w:t>Transitorio séptimo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: </w:t>
            </w:r>
            <w:r w:rsidRPr="00C00C4C">
              <w:rPr>
                <w:rFonts w:ascii="Arial Narrow" w:eastAsia="Times New Roman" w:hAnsi="Arial Narrow" w:cs="Arial"/>
                <w:lang w:val="es-ES" w:eastAsia="es-ES"/>
              </w:rPr>
              <w:t>Los medidores instalados previamente a la entrada en vigor de la presente Norma Oficial Mexicana en servicios de alta tensión, deberán dar cumplimiento a las especificaciones previstas en este instrumento, en un plazo máximo de 24 meses contados a partir de su entrada en vigor.</w:t>
            </w:r>
          </w:p>
          <w:p w:rsidR="006B36CB" w:rsidRPr="00DD273D" w:rsidRDefault="006B36CB" w:rsidP="006B36C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538" w:type="dxa"/>
            <w:vAlign w:val="center"/>
          </w:tcPr>
          <w:p w:rsidR="006B36CB" w:rsidRPr="00C00C4C" w:rsidRDefault="006B36CB" w:rsidP="006B36CB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C00C4C">
              <w:rPr>
                <w:rFonts w:ascii="Arial Narrow" w:hAnsi="Arial Narrow"/>
                <w:sz w:val="22"/>
                <w:szCs w:val="22"/>
              </w:rPr>
              <w:t>La implementación de la regulación propuesta tiene un claro impacto sobre las pérdidas que corresponden a la medición de la energía consumida en los tres niveles, es decir, residencial, comercial e industrial, en este sentido se presenta un ejercicio para apreciar dichos beneficios anuales.</w:t>
            </w:r>
          </w:p>
          <w:p w:rsidR="006B36CB" w:rsidRPr="00C00C4C" w:rsidRDefault="006B36CB" w:rsidP="006B36CB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6B36CB" w:rsidRPr="00DD273D" w:rsidRDefault="006B36CB" w:rsidP="006B36CB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C00C4C">
              <w:rPr>
                <w:rFonts w:ascii="Arial Narrow" w:hAnsi="Arial Narrow"/>
                <w:sz w:val="22"/>
                <w:szCs w:val="22"/>
              </w:rPr>
              <w:t>Cabe destacar que los medidores que actualmente están en funcionamiento tienen una Clase de exactitud del 2%; en tanto los medidores establecidos en la regulación tienen Clase de exactitud 0.5% y 0.2%.</w:t>
            </w:r>
          </w:p>
        </w:tc>
        <w:tc>
          <w:tcPr>
            <w:tcW w:w="2127" w:type="dxa"/>
            <w:vAlign w:val="center"/>
          </w:tcPr>
          <w:p w:rsidR="006B36CB" w:rsidRPr="00DD273D" w:rsidRDefault="006B36CB" w:rsidP="006B36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273D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Beneficio: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Disminución en las pérdidas en alta tensión. Véase Anexo 10 y 11.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r w:rsidRPr="00DD273D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6D7C43" w:rsidRPr="00DD273D" w:rsidTr="006B36CB">
        <w:trPr>
          <w:jc w:val="right"/>
        </w:trPr>
        <w:tc>
          <w:tcPr>
            <w:tcW w:w="3261" w:type="dxa"/>
            <w:vAlign w:val="center"/>
          </w:tcPr>
          <w:p w:rsidR="006D7C43" w:rsidRPr="00E71924" w:rsidRDefault="006D7C43" w:rsidP="006B36CB">
            <w:pPr>
              <w:pStyle w:val="Prrafodelista"/>
              <w:spacing w:before="0" w:after="0"/>
              <w:ind w:left="30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Verificaciones</w:t>
            </w:r>
          </w:p>
        </w:tc>
        <w:tc>
          <w:tcPr>
            <w:tcW w:w="3538" w:type="dxa"/>
            <w:vAlign w:val="center"/>
          </w:tcPr>
          <w:p w:rsidR="006D7C43" w:rsidRPr="00696DE0" w:rsidRDefault="006D7C43" w:rsidP="006D7C43">
            <w:pPr>
              <w:pStyle w:val="Texto"/>
              <w:spacing w:after="100" w:line="222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696DE0">
              <w:rPr>
                <w:rFonts w:ascii="Arial Narrow" w:hAnsi="Arial Narrow"/>
                <w:sz w:val="22"/>
                <w:szCs w:val="22"/>
              </w:rPr>
              <w:t>l Reglamento de la Ley de la Industria Eléctrica (RLIE) en su artículo 113 señala que los Transportistas y Distribuidores deberán verificar a través de unidades de verificación acreditadas y aprobadas, cuando menos una vez cada tres años, los instrumentos de medición instalados para asegurar que se ajusten a la exactitud establecida en la norma oficial mexicana.</w:t>
            </w:r>
          </w:p>
          <w:p w:rsidR="006D7C43" w:rsidRPr="00696DE0" w:rsidRDefault="006D7C43" w:rsidP="006D7C43">
            <w:pPr>
              <w:pStyle w:val="Texto"/>
              <w:spacing w:after="100" w:line="222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696DE0">
              <w:rPr>
                <w:rFonts w:ascii="Arial Narrow" w:hAnsi="Arial Narrow"/>
                <w:sz w:val="22"/>
                <w:szCs w:val="22"/>
              </w:rPr>
              <w:t>Se estima que durante 2020 se instalarán 2,683,199 medidores. Cabe destacar que la regulación propuesta no es retroactiva, por lo que las verificaciones sería a los medidores que se instalen a partir de la entrada en vigor de la NOM.</w:t>
            </w:r>
          </w:p>
          <w:p w:rsidR="006D7C43" w:rsidRPr="00696DE0" w:rsidRDefault="006D7C43" w:rsidP="006D7C43">
            <w:pPr>
              <w:pStyle w:val="Texto"/>
              <w:spacing w:after="100" w:line="222" w:lineRule="exact"/>
              <w:ind w:left="360" w:firstLine="0"/>
              <w:rPr>
                <w:rFonts w:ascii="Arial Narrow" w:hAnsi="Arial Narrow"/>
                <w:sz w:val="22"/>
                <w:szCs w:val="22"/>
              </w:rPr>
            </w:pPr>
          </w:p>
          <w:p w:rsidR="006D7C43" w:rsidRPr="00696DE0" w:rsidRDefault="006D7C43" w:rsidP="006D7C43">
            <w:pPr>
              <w:pStyle w:val="Texto"/>
              <w:spacing w:after="100" w:line="222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696DE0">
              <w:rPr>
                <w:rFonts w:ascii="Arial Narrow" w:hAnsi="Arial Narrow"/>
                <w:sz w:val="22"/>
                <w:szCs w:val="22"/>
              </w:rPr>
              <w:t>En seguimiento a lo anterior, se considera un esquema de muestreo para las verificaciones, el cual se establece en la Tabla PEC 8 de la regulación propuesta.</w:t>
            </w:r>
          </w:p>
          <w:p w:rsidR="006D7C43" w:rsidRPr="00C00C4C" w:rsidRDefault="006D7C43" w:rsidP="006D7C43">
            <w:pPr>
              <w:pStyle w:val="Texto"/>
              <w:spacing w:after="100" w:line="222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696DE0">
              <w:rPr>
                <w:rFonts w:ascii="Arial Narrow" w:hAnsi="Arial Narrow"/>
                <w:sz w:val="22"/>
                <w:szCs w:val="22"/>
              </w:rPr>
              <w:t>Considerando el total de medidores a instalar en 2020 (2,683,199) y aplicando la Tabla PEC 8, la muestra sujeta a verificación es de 500 medidores.</w:t>
            </w:r>
          </w:p>
        </w:tc>
        <w:tc>
          <w:tcPr>
            <w:tcW w:w="2127" w:type="dxa"/>
            <w:vAlign w:val="center"/>
          </w:tcPr>
          <w:p w:rsidR="006D7C43" w:rsidRPr="00DD273D" w:rsidRDefault="006D7C43" w:rsidP="006D7C43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DD273D">
              <w:rPr>
                <w:rFonts w:ascii="Arial Narrow" w:hAnsi="Arial Narrow"/>
                <w:sz w:val="20"/>
                <w:szCs w:val="20"/>
                <w:lang w:val="es-ES_tradnl"/>
              </w:rPr>
              <w:lastRenderedPageBreak/>
              <w:t xml:space="preserve">Beneficio: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Brindar certeza respecto a la medición, así como permitir la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participación de un tercero en el proceso de verificación, para transparentar las actividades de la industria eléctrica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. Véase Anexo 10 y 11.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r w:rsidRPr="00DD273D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 </w:t>
            </w:r>
          </w:p>
        </w:tc>
      </w:tr>
    </w:tbl>
    <w:p w:rsidR="00983786" w:rsidRDefault="00983786"/>
    <w:sectPr w:rsidR="009837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0ECE"/>
    <w:multiLevelType w:val="hybridMultilevel"/>
    <w:tmpl w:val="DA929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CB"/>
    <w:rsid w:val="00542056"/>
    <w:rsid w:val="006A210E"/>
    <w:rsid w:val="006B36CB"/>
    <w:rsid w:val="006D7C43"/>
    <w:rsid w:val="008137E3"/>
    <w:rsid w:val="00983786"/>
    <w:rsid w:val="00A76484"/>
    <w:rsid w:val="00D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CC2B"/>
  <w15:chartTrackingRefBased/>
  <w15:docId w15:val="{87AFED23-5F2A-4CFD-A8BA-3C2CE3FE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B36C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B36CB"/>
    <w:rPr>
      <w:rFonts w:ascii="Arial" w:eastAsia="Times New Roman" w:hAnsi="Arial" w:cs="Arial"/>
      <w:sz w:val="18"/>
      <w:szCs w:val="20"/>
      <w:lang w:val="es-ES" w:eastAsia="es-ES"/>
    </w:rPr>
  </w:style>
  <w:style w:type="paragraph" w:styleId="Sinespaciado">
    <w:name w:val="No Spacing"/>
    <w:uiPriority w:val="1"/>
    <w:qFormat/>
    <w:rsid w:val="006B36C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B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36CB"/>
    <w:pPr>
      <w:spacing w:before="120" w:after="120" w:line="240" w:lineRule="auto"/>
      <w:ind w:left="720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Cabrera Lopez</dc:creator>
  <cp:keywords/>
  <dc:description/>
  <cp:lastModifiedBy>Gladys Cabrera Lopez</cp:lastModifiedBy>
  <cp:revision>2</cp:revision>
  <dcterms:created xsi:type="dcterms:W3CDTF">2019-03-29T17:06:00Z</dcterms:created>
  <dcterms:modified xsi:type="dcterms:W3CDTF">2019-03-29T17:19:00Z</dcterms:modified>
</cp:coreProperties>
</file>