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1" w:rsidRDefault="0010260F">
      <w:bookmarkStart w:id="0" w:name="_GoBack"/>
      <w:r>
        <w:rPr>
          <w:noProof/>
          <w:lang w:eastAsia="es-MX"/>
        </w:rPr>
        <w:drawing>
          <wp:inline distT="0" distB="0" distL="0" distR="0" wp14:anchorId="14636A6D" wp14:editId="44F69078">
            <wp:extent cx="8244839" cy="5245784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3174" cy="53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260F" w:rsidRDefault="0010260F">
      <w:r>
        <w:t>Cabe señalar la distribución del diésel ultra bajo azufre (DUBA, de no más de 15 mg/kg) se encuentra en transición en México, lo cual se tiene prevista su total cobertura hasta el 1° de julio de 2018.</w:t>
      </w:r>
    </w:p>
    <w:sectPr w:rsidR="0010260F" w:rsidSect="0010260F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F"/>
    <w:rsid w:val="0010260F"/>
    <w:rsid w:val="004B32A1"/>
    <w:rsid w:val="004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6AC"/>
  <w15:chartTrackingRefBased/>
  <w15:docId w15:val="{0FF47B37-20A9-4753-8ADC-E6D8458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Lara Cabañas</dc:creator>
  <cp:keywords/>
  <dc:description/>
  <cp:lastModifiedBy>Alexandra Lara Cabañas</cp:lastModifiedBy>
  <cp:revision>1</cp:revision>
  <dcterms:created xsi:type="dcterms:W3CDTF">2016-03-30T17:06:00Z</dcterms:created>
  <dcterms:modified xsi:type="dcterms:W3CDTF">2016-03-30T17:17:00Z</dcterms:modified>
</cp:coreProperties>
</file>